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rPr/>
      </w:pPr>
      <w:r w:rsidDel="00000000" w:rsidR="00000000" w:rsidRPr="00000000">
        <w:rPr>
          <w:rtl w:val="0"/>
        </w:rPr>
        <w:t xml:space="preserve">Instructions — Tool 14A Step-by-Step Mastery - Entrepreneur Version ClearMethodIQ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  <w:t xml:space="preserve">Hello Valued Entrepreneur,</w:t>
        <w:br w:type="textWrapping"/>
        <w:br w:type="textWrapping"/>
        <w:t xml:space="preserve">Tool #14A — Step-by-Step Mastery (Entrepreneur Version — ClearMethodIQ) helps you break down business tasks into clear, meaningful steps. It strengthens consistency, accuracy, and long-term clarity in your workflows. This tool teaches you to understand each step deeply, name confusion honestly, and build systems that grow with your business.</w:t>
      </w:r>
    </w:p>
    <w:p w:rsidR="00000000" w:rsidDel="00000000" w:rsidP="00000000" w:rsidRDefault="00000000" w:rsidRPr="00000000" w14:paraId="00000004">
      <w:pPr>
        <w:pStyle w:val="Heading2"/>
        <w:rPr/>
      </w:pPr>
      <w:r w:rsidDel="00000000" w:rsidR="00000000" w:rsidRPr="00000000">
        <w:rPr>
          <w:rtl w:val="0"/>
        </w:rPr>
        <w:t xml:space="preserve">A. What This Tool Is</w:t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  <w:t xml:space="preserve">Tool 14A helps entrepreneurs break down any important process into clear steps. It guides you to understand: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  <w:t xml:space="preserve">- What the step is</w:t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tl w:val="0"/>
        </w:rPr>
        <w:t xml:space="preserve">- What action must be taken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  <w:t xml:space="preserve">- Whether you understand it</w:t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tl w:val="0"/>
        </w:rPr>
        <w:t xml:space="preserve">- What part feels confusing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  <w:t xml:space="preserve">- How to show mastery</w:t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tl w:val="0"/>
        </w:rPr>
        <w:t xml:space="preserve">- Why the step matters</w:t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tl w:val="0"/>
        </w:rPr>
        <w:t xml:space="preserve">This tool builds precision, safety, and high-level competence.</w:t>
      </w:r>
    </w:p>
    <w:p w:rsidR="00000000" w:rsidDel="00000000" w:rsidP="00000000" w:rsidRDefault="00000000" w:rsidRPr="00000000" w14:paraId="0000000E">
      <w:pPr>
        <w:pStyle w:val="Heading2"/>
        <w:rPr/>
      </w:pPr>
      <w:r w:rsidDel="00000000" w:rsidR="00000000" w:rsidRPr="00000000">
        <w:rPr>
          <w:rtl w:val="0"/>
        </w:rPr>
        <w:t xml:space="preserve">B. Purpose of the Tool</w:t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tl w:val="0"/>
        </w:rPr>
        <w:t xml:space="preserve">This tool teaches entrepreneurs to:</w:t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tl w:val="0"/>
        </w:rPr>
        <w:t xml:space="preserve">- Build reliable systems</w:t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tl w:val="0"/>
        </w:rPr>
        <w:t xml:space="preserve">- Reduce costly mistakes</w:t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tl w:val="0"/>
        </w:rPr>
        <w:t xml:space="preserve">- Improve clarity before delegating</w:t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tl w:val="0"/>
        </w:rPr>
        <w:t xml:space="preserve">- Slow down and understand essential processes</w:t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tl w:val="0"/>
        </w:rPr>
        <w:t xml:space="preserve">- Strengthen business flow and consistency</w:t>
      </w:r>
    </w:p>
    <w:p w:rsidR="00000000" w:rsidDel="00000000" w:rsidP="00000000" w:rsidRDefault="00000000" w:rsidRPr="00000000" w14:paraId="0000001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rPr/>
      </w:pPr>
      <w:r w:rsidDel="00000000" w:rsidR="00000000" w:rsidRPr="00000000">
        <w:rPr>
          <w:rtl w:val="0"/>
        </w:rPr>
        <w:t xml:space="preserve">Mastery comes from understanding steps, not memorizing or guessing.</w:t>
      </w:r>
    </w:p>
    <w:p w:rsidR="00000000" w:rsidDel="00000000" w:rsidP="00000000" w:rsidRDefault="00000000" w:rsidRPr="00000000" w14:paraId="00000017">
      <w:pPr>
        <w:pStyle w:val="Heading2"/>
        <w:rPr/>
      </w:pPr>
      <w:r w:rsidDel="00000000" w:rsidR="00000000" w:rsidRPr="00000000">
        <w:rPr>
          <w:rtl w:val="0"/>
        </w:rPr>
        <w:t xml:space="preserve">C. The Golden Rule</w:t>
      </w:r>
    </w:p>
    <w:p w:rsidR="00000000" w:rsidDel="00000000" w:rsidP="00000000" w:rsidRDefault="00000000" w:rsidRPr="00000000" w14:paraId="00000018">
      <w:pPr>
        <w:rPr/>
      </w:pPr>
      <w:r w:rsidDel="00000000" w:rsidR="00000000" w:rsidRPr="00000000">
        <w:rPr>
          <w:rtl w:val="0"/>
        </w:rPr>
        <w:t xml:space="preserve">“Every step must be understood—not rushed.”</w:t>
      </w:r>
    </w:p>
    <w:p w:rsidR="00000000" w:rsidDel="00000000" w:rsidP="00000000" w:rsidRDefault="00000000" w:rsidRPr="00000000" w14:paraId="0000001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rPr/>
      </w:pPr>
      <w:r w:rsidDel="00000000" w:rsidR="00000000" w:rsidRPr="00000000">
        <w:rPr>
          <w:rtl w:val="0"/>
        </w:rPr>
        <w:t xml:space="preserve">Entrepreneurs must:</w:t>
      </w:r>
    </w:p>
    <w:p w:rsidR="00000000" w:rsidDel="00000000" w:rsidP="00000000" w:rsidRDefault="00000000" w:rsidRPr="00000000" w14:paraId="0000001B">
      <w:pPr>
        <w:rPr/>
      </w:pPr>
      <w:r w:rsidDel="00000000" w:rsidR="00000000" w:rsidRPr="00000000">
        <w:rPr>
          <w:rtl w:val="0"/>
        </w:rPr>
        <w:t xml:space="preserve">- Know the name of the step</w:t>
      </w:r>
    </w:p>
    <w:p w:rsidR="00000000" w:rsidDel="00000000" w:rsidP="00000000" w:rsidRDefault="00000000" w:rsidRPr="00000000" w14:paraId="0000001C">
      <w:pPr>
        <w:rPr/>
      </w:pPr>
      <w:r w:rsidDel="00000000" w:rsidR="00000000" w:rsidRPr="00000000">
        <w:rPr>
          <w:rtl w:val="0"/>
        </w:rPr>
        <w:t xml:space="preserve">- Know the action required</w:t>
      </w:r>
    </w:p>
    <w:p w:rsidR="00000000" w:rsidDel="00000000" w:rsidP="00000000" w:rsidRDefault="00000000" w:rsidRPr="00000000" w14:paraId="0000001D">
      <w:pPr>
        <w:rPr/>
      </w:pPr>
      <w:r w:rsidDel="00000000" w:rsidR="00000000" w:rsidRPr="00000000">
        <w:rPr>
          <w:rtl w:val="0"/>
        </w:rPr>
        <w:t xml:space="preserve">- Know the purpose</w:t>
      </w:r>
    </w:p>
    <w:p w:rsidR="00000000" w:rsidDel="00000000" w:rsidP="00000000" w:rsidRDefault="00000000" w:rsidRPr="00000000" w14:paraId="0000001E">
      <w:pPr>
        <w:rPr/>
      </w:pPr>
      <w:r w:rsidDel="00000000" w:rsidR="00000000" w:rsidRPr="00000000">
        <w:rPr>
          <w:rtl w:val="0"/>
        </w:rPr>
        <w:t xml:space="preserve">- Identify confusion</w:t>
      </w:r>
    </w:p>
    <w:p w:rsidR="00000000" w:rsidDel="00000000" w:rsidP="00000000" w:rsidRDefault="00000000" w:rsidRPr="00000000" w14:paraId="0000001F">
      <w:pPr>
        <w:rPr/>
      </w:pPr>
      <w:r w:rsidDel="00000000" w:rsidR="00000000" w:rsidRPr="00000000">
        <w:rPr>
          <w:rtl w:val="0"/>
        </w:rPr>
        <w:t xml:space="preserve">- Confirm understanding</w:t>
      </w:r>
    </w:p>
    <w:p w:rsidR="00000000" w:rsidDel="00000000" w:rsidP="00000000" w:rsidRDefault="00000000" w:rsidRPr="00000000" w14:paraId="0000002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rPr/>
      </w:pPr>
      <w:r w:rsidDel="00000000" w:rsidR="00000000" w:rsidRPr="00000000">
        <w:rPr>
          <w:rtl w:val="0"/>
        </w:rPr>
        <w:t xml:space="preserve">A missed step usually means a missing purpose.</w:t>
      </w:r>
    </w:p>
    <w:p w:rsidR="00000000" w:rsidDel="00000000" w:rsidP="00000000" w:rsidRDefault="00000000" w:rsidRPr="00000000" w14:paraId="00000022">
      <w:pPr>
        <w:pStyle w:val="Heading2"/>
        <w:rPr/>
      </w:pPr>
      <w:r w:rsidDel="00000000" w:rsidR="00000000" w:rsidRPr="00000000">
        <w:rPr>
          <w:rtl w:val="0"/>
        </w:rPr>
        <w:t xml:space="preserve">D. Starting the Conversation</w:t>
      </w:r>
    </w:p>
    <w:p w:rsidR="00000000" w:rsidDel="00000000" w:rsidP="00000000" w:rsidRDefault="00000000" w:rsidRPr="00000000" w14:paraId="00000023">
      <w:pPr>
        <w:rPr/>
      </w:pPr>
      <w:r w:rsidDel="00000000" w:rsidR="00000000" w:rsidRPr="00000000">
        <w:rPr>
          <w:rtl w:val="0"/>
        </w:rPr>
        <w:t xml:space="preserve">Suggested introduction phrases:</w:t>
      </w:r>
    </w:p>
    <w:p w:rsidR="00000000" w:rsidDel="00000000" w:rsidP="00000000" w:rsidRDefault="00000000" w:rsidRPr="00000000" w14:paraId="00000024">
      <w:pPr>
        <w:rPr/>
      </w:pPr>
      <w:r w:rsidDel="00000000" w:rsidR="00000000" w:rsidRPr="00000000">
        <w:rPr>
          <w:rtl w:val="0"/>
        </w:rPr>
        <w:t xml:space="preserve">- “Let’s map out this process clearly.”</w:t>
      </w:r>
    </w:p>
    <w:p w:rsidR="00000000" w:rsidDel="00000000" w:rsidP="00000000" w:rsidRDefault="00000000" w:rsidRPr="00000000" w14:paraId="00000025">
      <w:pPr>
        <w:rPr/>
      </w:pPr>
      <w:r w:rsidDel="00000000" w:rsidR="00000000" w:rsidRPr="00000000">
        <w:rPr>
          <w:rtl w:val="0"/>
        </w:rPr>
        <w:t xml:space="preserve">- “Professionals don’t skip steps.”</w:t>
      </w:r>
    </w:p>
    <w:p w:rsidR="00000000" w:rsidDel="00000000" w:rsidP="00000000" w:rsidRDefault="00000000" w:rsidRPr="00000000" w14:paraId="00000026">
      <w:pPr>
        <w:rPr/>
      </w:pPr>
      <w:r w:rsidDel="00000000" w:rsidR="00000000" w:rsidRPr="00000000">
        <w:rPr>
          <w:rtl w:val="0"/>
        </w:rPr>
        <w:t xml:space="preserve">- “If anything feels unclear, write it down immediately.”</w:t>
      </w:r>
    </w:p>
    <w:p w:rsidR="00000000" w:rsidDel="00000000" w:rsidP="00000000" w:rsidRDefault="00000000" w:rsidRPr="00000000" w14:paraId="0000002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rPr/>
      </w:pPr>
      <w:r w:rsidDel="00000000" w:rsidR="00000000" w:rsidRPr="00000000">
        <w:rPr>
          <w:rtl w:val="0"/>
        </w:rPr>
        <w:t xml:space="preserve">You may demonstrate using:</w:t>
      </w:r>
    </w:p>
    <w:p w:rsidR="00000000" w:rsidDel="00000000" w:rsidP="00000000" w:rsidRDefault="00000000" w:rsidRPr="00000000" w14:paraId="00000029">
      <w:pPr>
        <w:rPr/>
      </w:pPr>
      <w:r w:rsidDel="00000000" w:rsidR="00000000" w:rsidRPr="00000000">
        <w:rPr>
          <w:rtl w:val="0"/>
        </w:rPr>
        <w:t xml:space="preserve">- A sales script</w:t>
      </w:r>
    </w:p>
    <w:p w:rsidR="00000000" w:rsidDel="00000000" w:rsidP="00000000" w:rsidRDefault="00000000" w:rsidRPr="00000000" w14:paraId="0000002A">
      <w:pPr>
        <w:rPr/>
      </w:pPr>
      <w:r w:rsidDel="00000000" w:rsidR="00000000" w:rsidRPr="00000000">
        <w:rPr>
          <w:rtl w:val="0"/>
        </w:rPr>
        <w:t xml:space="preserve">- A client onboarding system</w:t>
      </w:r>
    </w:p>
    <w:p w:rsidR="00000000" w:rsidDel="00000000" w:rsidP="00000000" w:rsidRDefault="00000000" w:rsidRPr="00000000" w14:paraId="0000002B">
      <w:pPr>
        <w:rPr/>
      </w:pPr>
      <w:r w:rsidDel="00000000" w:rsidR="00000000" w:rsidRPr="00000000">
        <w:rPr>
          <w:rtl w:val="0"/>
        </w:rPr>
        <w:t xml:space="preserve">- A safety or compliance routine</w:t>
      </w:r>
    </w:p>
    <w:p w:rsidR="00000000" w:rsidDel="00000000" w:rsidP="00000000" w:rsidRDefault="00000000" w:rsidRPr="00000000" w14:paraId="0000002C">
      <w:pPr>
        <w:rPr/>
      </w:pPr>
      <w:r w:rsidDel="00000000" w:rsidR="00000000" w:rsidRPr="00000000">
        <w:rPr>
          <w:rtl w:val="0"/>
        </w:rPr>
        <w:t xml:space="preserve">- A financial workflow</w:t>
      </w:r>
    </w:p>
    <w:p w:rsidR="00000000" w:rsidDel="00000000" w:rsidP="00000000" w:rsidRDefault="00000000" w:rsidRPr="00000000" w14:paraId="0000002D">
      <w:pPr>
        <w:pStyle w:val="Heading2"/>
        <w:rPr/>
      </w:pPr>
      <w:r w:rsidDel="00000000" w:rsidR="00000000" w:rsidRPr="00000000">
        <w:rPr>
          <w:rtl w:val="0"/>
        </w:rPr>
        <w:t xml:space="preserve">E. Choosing a Topic / When to Use</w:t>
      </w:r>
    </w:p>
    <w:p w:rsidR="00000000" w:rsidDel="00000000" w:rsidP="00000000" w:rsidRDefault="00000000" w:rsidRPr="00000000" w14:paraId="0000002E">
      <w:pPr>
        <w:rPr/>
      </w:pPr>
      <w:r w:rsidDel="00000000" w:rsidR="00000000" w:rsidRPr="00000000">
        <w:rPr>
          <w:rtl w:val="0"/>
        </w:rPr>
        <w:t xml:space="preserve">Use Tool 14A when documenting or improving:</w:t>
      </w:r>
    </w:p>
    <w:p w:rsidR="00000000" w:rsidDel="00000000" w:rsidP="00000000" w:rsidRDefault="00000000" w:rsidRPr="00000000" w14:paraId="0000002F">
      <w:pPr>
        <w:rPr/>
      </w:pPr>
      <w:r w:rsidDel="00000000" w:rsidR="00000000" w:rsidRPr="00000000">
        <w:rPr>
          <w:rtl w:val="0"/>
        </w:rPr>
        <w:t xml:space="preserve">- Business operations</w:t>
      </w:r>
    </w:p>
    <w:p w:rsidR="00000000" w:rsidDel="00000000" w:rsidP="00000000" w:rsidRDefault="00000000" w:rsidRPr="00000000" w14:paraId="00000030">
      <w:pPr>
        <w:rPr/>
      </w:pPr>
      <w:r w:rsidDel="00000000" w:rsidR="00000000" w:rsidRPr="00000000">
        <w:rPr>
          <w:rtl w:val="0"/>
        </w:rPr>
        <w:t xml:space="preserve">- Marketing procedures</w:t>
      </w:r>
    </w:p>
    <w:p w:rsidR="00000000" w:rsidDel="00000000" w:rsidP="00000000" w:rsidRDefault="00000000" w:rsidRPr="00000000" w14:paraId="00000031">
      <w:pPr>
        <w:rPr/>
      </w:pPr>
      <w:r w:rsidDel="00000000" w:rsidR="00000000" w:rsidRPr="00000000">
        <w:rPr>
          <w:rtl w:val="0"/>
        </w:rPr>
        <w:t xml:space="preserve">- Team workflows</w:t>
      </w:r>
    </w:p>
    <w:p w:rsidR="00000000" w:rsidDel="00000000" w:rsidP="00000000" w:rsidRDefault="00000000" w:rsidRPr="00000000" w14:paraId="00000032">
      <w:pPr>
        <w:rPr/>
      </w:pPr>
      <w:r w:rsidDel="00000000" w:rsidR="00000000" w:rsidRPr="00000000">
        <w:rPr>
          <w:rtl w:val="0"/>
        </w:rPr>
        <w:t xml:space="preserve">- Customer service protocols</w:t>
      </w:r>
    </w:p>
    <w:p w:rsidR="00000000" w:rsidDel="00000000" w:rsidP="00000000" w:rsidRDefault="00000000" w:rsidRPr="00000000" w14:paraId="00000033">
      <w:pPr>
        <w:rPr/>
      </w:pPr>
      <w:r w:rsidDel="00000000" w:rsidR="00000000" w:rsidRPr="00000000">
        <w:rPr>
          <w:rtl w:val="0"/>
        </w:rPr>
        <w:t xml:space="preserve">- Inventory or logistics systems</w:t>
      </w:r>
    </w:p>
    <w:p w:rsidR="00000000" w:rsidDel="00000000" w:rsidP="00000000" w:rsidRDefault="00000000" w:rsidRPr="00000000" w14:paraId="00000034">
      <w:pPr>
        <w:rPr/>
      </w:pPr>
      <w:r w:rsidDel="00000000" w:rsidR="00000000" w:rsidRPr="00000000">
        <w:rPr>
          <w:rtl w:val="0"/>
        </w:rPr>
        <w:t xml:space="preserve">- Launch procedures</w:t>
      </w:r>
    </w:p>
    <w:p w:rsidR="00000000" w:rsidDel="00000000" w:rsidP="00000000" w:rsidRDefault="00000000" w:rsidRPr="00000000" w14:paraId="00000035">
      <w:pPr>
        <w:rPr/>
      </w:pPr>
      <w:r w:rsidDel="00000000" w:rsidR="00000000" w:rsidRPr="00000000">
        <w:rPr>
          <w:rtl w:val="0"/>
        </w:rPr>
        <w:t xml:space="preserve">- Any repeatable business process</w:t>
      </w:r>
    </w:p>
    <w:p w:rsidR="00000000" w:rsidDel="00000000" w:rsidP="00000000" w:rsidRDefault="00000000" w:rsidRPr="00000000" w14:paraId="00000036">
      <w:pPr>
        <w:pStyle w:val="Heading2"/>
        <w:rPr/>
      </w:pPr>
      <w:r w:rsidDel="00000000" w:rsidR="00000000" w:rsidRPr="00000000">
        <w:rPr>
          <w:rtl w:val="0"/>
        </w:rPr>
        <w:t xml:space="preserve">F. What Happens Next</w:t>
      </w:r>
    </w:p>
    <w:p w:rsidR="00000000" w:rsidDel="00000000" w:rsidP="00000000" w:rsidRDefault="00000000" w:rsidRPr="00000000" w14:paraId="00000037">
      <w:pPr>
        <w:rPr/>
      </w:pPr>
      <w:r w:rsidDel="00000000" w:rsidR="00000000" w:rsidRPr="00000000">
        <w:rPr>
          <w:rtl w:val="0"/>
        </w:rPr>
        <w:t xml:space="preserve">Entrepreneurs write:</w:t>
      </w:r>
    </w:p>
    <w:p w:rsidR="00000000" w:rsidDel="00000000" w:rsidP="00000000" w:rsidRDefault="00000000" w:rsidRPr="00000000" w14:paraId="00000038">
      <w:pPr>
        <w:rPr/>
      </w:pPr>
      <w:r w:rsidDel="00000000" w:rsidR="00000000" w:rsidRPr="00000000">
        <w:rPr>
          <w:rtl w:val="0"/>
        </w:rPr>
        <w:t xml:space="preserve">1. Step name</w:t>
      </w:r>
    </w:p>
    <w:p w:rsidR="00000000" w:rsidDel="00000000" w:rsidP="00000000" w:rsidRDefault="00000000" w:rsidRPr="00000000" w14:paraId="00000039">
      <w:pPr>
        <w:rPr/>
      </w:pPr>
      <w:r w:rsidDel="00000000" w:rsidR="00000000" w:rsidRPr="00000000">
        <w:rPr>
          <w:rtl w:val="0"/>
        </w:rPr>
        <w:t xml:space="preserve">2. Required action</w:t>
      </w:r>
    </w:p>
    <w:p w:rsidR="00000000" w:rsidDel="00000000" w:rsidP="00000000" w:rsidRDefault="00000000" w:rsidRPr="00000000" w14:paraId="0000003A">
      <w:pPr>
        <w:rPr/>
      </w:pPr>
      <w:r w:rsidDel="00000000" w:rsidR="00000000" w:rsidRPr="00000000">
        <w:rPr>
          <w:rtl w:val="0"/>
        </w:rPr>
        <w:t xml:space="preserve">3. Understanding level</w:t>
      </w:r>
    </w:p>
    <w:p w:rsidR="00000000" w:rsidDel="00000000" w:rsidP="00000000" w:rsidRDefault="00000000" w:rsidRPr="00000000" w14:paraId="0000003B">
      <w:pPr>
        <w:rPr/>
      </w:pPr>
      <w:r w:rsidDel="00000000" w:rsidR="00000000" w:rsidRPr="00000000">
        <w:rPr>
          <w:rtl w:val="0"/>
        </w:rPr>
        <w:t xml:space="preserve">4. Confusion points</w:t>
      </w:r>
    </w:p>
    <w:p w:rsidR="00000000" w:rsidDel="00000000" w:rsidP="00000000" w:rsidRDefault="00000000" w:rsidRPr="00000000" w14:paraId="0000003C">
      <w:pPr>
        <w:rPr/>
      </w:pPr>
      <w:r w:rsidDel="00000000" w:rsidR="00000000" w:rsidRPr="00000000">
        <w:rPr>
          <w:rtl w:val="0"/>
        </w:rPr>
        <w:t xml:space="preserve">5. How mastery will be shown</w:t>
      </w:r>
    </w:p>
    <w:p w:rsidR="00000000" w:rsidDel="00000000" w:rsidP="00000000" w:rsidRDefault="00000000" w:rsidRPr="00000000" w14:paraId="0000003D">
      <w:pPr>
        <w:rPr/>
      </w:pPr>
      <w:r w:rsidDel="00000000" w:rsidR="00000000" w:rsidRPr="00000000">
        <w:rPr>
          <w:rtl w:val="0"/>
        </w:rPr>
        <w:t xml:space="preserve">6. Purpose of the step</w:t>
      </w:r>
    </w:p>
    <w:p w:rsidR="00000000" w:rsidDel="00000000" w:rsidP="00000000" w:rsidRDefault="00000000" w:rsidRPr="00000000" w14:paraId="0000003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rPr/>
      </w:pPr>
      <w:r w:rsidDel="00000000" w:rsidR="00000000" w:rsidRPr="00000000">
        <w:rPr>
          <w:rtl w:val="0"/>
        </w:rPr>
        <w:t xml:space="preserve">Then refine unclear areas and test the system for reliability.</w:t>
      </w:r>
    </w:p>
    <w:p w:rsidR="00000000" w:rsidDel="00000000" w:rsidP="00000000" w:rsidRDefault="00000000" w:rsidRPr="00000000" w14:paraId="00000040">
      <w:pPr>
        <w:pStyle w:val="Heading2"/>
        <w:rPr/>
      </w:pPr>
      <w:r w:rsidDel="00000000" w:rsidR="00000000" w:rsidRPr="00000000">
        <w:rPr>
          <w:rtl w:val="0"/>
        </w:rPr>
        <w:t xml:space="preserve">G. Let Their Thinking Branch Out</w:t>
      </w:r>
    </w:p>
    <w:p w:rsidR="00000000" w:rsidDel="00000000" w:rsidP="00000000" w:rsidRDefault="00000000" w:rsidRPr="00000000" w14:paraId="00000041">
      <w:pPr>
        <w:rPr/>
      </w:pPr>
      <w:r w:rsidDel="00000000" w:rsidR="00000000" w:rsidRPr="00000000">
        <w:rPr>
          <w:rtl w:val="0"/>
        </w:rPr>
        <w:t xml:space="preserve">Encourage deeper thinking:</w:t>
      </w:r>
    </w:p>
    <w:p w:rsidR="00000000" w:rsidDel="00000000" w:rsidP="00000000" w:rsidRDefault="00000000" w:rsidRPr="00000000" w14:paraId="00000042">
      <w:pPr>
        <w:rPr/>
      </w:pPr>
      <w:r w:rsidDel="00000000" w:rsidR="00000000" w:rsidRPr="00000000">
        <w:rPr>
          <w:rtl w:val="0"/>
        </w:rPr>
        <w:t xml:space="preserve">- What breaks if this step is skipped?</w:t>
      </w:r>
    </w:p>
    <w:p w:rsidR="00000000" w:rsidDel="00000000" w:rsidP="00000000" w:rsidRDefault="00000000" w:rsidRPr="00000000" w14:paraId="00000043">
      <w:pPr>
        <w:rPr/>
      </w:pPr>
      <w:r w:rsidDel="00000000" w:rsidR="00000000" w:rsidRPr="00000000">
        <w:rPr>
          <w:rtl w:val="0"/>
        </w:rPr>
        <w:t xml:space="preserve">- Why does this step matter?</w:t>
      </w:r>
    </w:p>
    <w:p w:rsidR="00000000" w:rsidDel="00000000" w:rsidP="00000000" w:rsidRDefault="00000000" w:rsidRPr="00000000" w14:paraId="00000044">
      <w:pPr>
        <w:rPr/>
      </w:pPr>
      <w:r w:rsidDel="00000000" w:rsidR="00000000" w:rsidRPr="00000000">
        <w:rPr>
          <w:rtl w:val="0"/>
        </w:rPr>
        <w:t xml:space="preserve">- How does it connect to the next step?</w:t>
      </w:r>
    </w:p>
    <w:p w:rsidR="00000000" w:rsidDel="00000000" w:rsidP="00000000" w:rsidRDefault="00000000" w:rsidRPr="00000000" w14:paraId="00000045">
      <w:pPr>
        <w:rPr/>
      </w:pPr>
      <w:r w:rsidDel="00000000" w:rsidR="00000000" w:rsidRPr="00000000">
        <w:rPr>
          <w:rtl w:val="0"/>
        </w:rPr>
        <w:t xml:space="preserve">- What questions appear when reviewing the step?</w:t>
      </w:r>
    </w:p>
    <w:p w:rsidR="00000000" w:rsidDel="00000000" w:rsidP="00000000" w:rsidRDefault="00000000" w:rsidRPr="00000000" w14:paraId="00000046">
      <w:pPr>
        <w:rPr/>
      </w:pPr>
      <w:r w:rsidDel="00000000" w:rsidR="00000000" w:rsidRPr="00000000">
        <w:rPr>
          <w:rtl w:val="0"/>
        </w:rPr>
        <w:t xml:space="preserve">- How can the step be improved after mastery?</w:t>
      </w:r>
    </w:p>
    <w:p w:rsidR="00000000" w:rsidDel="00000000" w:rsidP="00000000" w:rsidRDefault="00000000" w:rsidRPr="00000000" w14:paraId="0000004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rPr/>
      </w:pPr>
      <w:r w:rsidDel="00000000" w:rsidR="00000000" w:rsidRPr="00000000">
        <w:rPr>
          <w:rtl w:val="0"/>
        </w:rPr>
        <w:t xml:space="preserve">This links to Tools 3, 4, 6, and 12.</w:t>
      </w:r>
    </w:p>
    <w:p w:rsidR="00000000" w:rsidDel="00000000" w:rsidP="00000000" w:rsidRDefault="00000000" w:rsidRPr="00000000" w14:paraId="00000049">
      <w:pPr>
        <w:pStyle w:val="Heading2"/>
        <w:rPr/>
      </w:pPr>
      <w:r w:rsidDel="00000000" w:rsidR="00000000" w:rsidRPr="00000000">
        <w:rPr>
          <w:rtl w:val="0"/>
        </w:rPr>
        <w:t xml:space="preserve">H. Notes &amp; Guidance for Entrepreneurs</w:t>
      </w:r>
    </w:p>
    <w:p w:rsidR="00000000" w:rsidDel="00000000" w:rsidP="00000000" w:rsidRDefault="00000000" w:rsidRPr="00000000" w14:paraId="0000004A">
      <w:pPr>
        <w:rPr/>
      </w:pPr>
      <w:r w:rsidDel="00000000" w:rsidR="00000000" w:rsidRPr="00000000">
        <w:rPr>
          <w:rtl w:val="0"/>
        </w:rPr>
        <w:t xml:space="preserve">Important reminders:</w:t>
      </w:r>
    </w:p>
    <w:p w:rsidR="00000000" w:rsidDel="00000000" w:rsidP="00000000" w:rsidRDefault="00000000" w:rsidRPr="00000000" w14:paraId="0000004B">
      <w:pPr>
        <w:rPr/>
      </w:pPr>
      <w:r w:rsidDel="00000000" w:rsidR="00000000" w:rsidRPr="00000000">
        <w:rPr>
          <w:rtl w:val="0"/>
        </w:rPr>
        <w:t xml:space="preserve">- Do not rush</w:t>
      </w:r>
    </w:p>
    <w:p w:rsidR="00000000" w:rsidDel="00000000" w:rsidP="00000000" w:rsidRDefault="00000000" w:rsidRPr="00000000" w14:paraId="0000004C">
      <w:pPr>
        <w:rPr/>
      </w:pPr>
      <w:r w:rsidDel="00000000" w:rsidR="00000000" w:rsidRPr="00000000">
        <w:rPr>
          <w:rtl w:val="0"/>
        </w:rPr>
        <w:t xml:space="preserve">- Write confusion honestly</w:t>
      </w:r>
    </w:p>
    <w:p w:rsidR="00000000" w:rsidDel="00000000" w:rsidP="00000000" w:rsidRDefault="00000000" w:rsidRPr="00000000" w14:paraId="0000004D">
      <w:pPr>
        <w:rPr/>
      </w:pPr>
      <w:r w:rsidDel="00000000" w:rsidR="00000000" w:rsidRPr="00000000">
        <w:rPr>
          <w:rtl w:val="0"/>
        </w:rPr>
        <w:t xml:space="preserve">- Refine steps repeatedly</w:t>
      </w:r>
    </w:p>
    <w:p w:rsidR="00000000" w:rsidDel="00000000" w:rsidP="00000000" w:rsidRDefault="00000000" w:rsidRPr="00000000" w14:paraId="0000004E">
      <w:pPr>
        <w:rPr/>
      </w:pPr>
      <w:r w:rsidDel="00000000" w:rsidR="00000000" w:rsidRPr="00000000">
        <w:rPr>
          <w:rtl w:val="0"/>
        </w:rPr>
        <w:t xml:space="preserve">- Explain real-world consequences of missing steps</w:t>
      </w:r>
    </w:p>
    <w:p w:rsidR="00000000" w:rsidDel="00000000" w:rsidP="00000000" w:rsidRDefault="00000000" w:rsidRPr="00000000" w14:paraId="0000004F">
      <w:pPr>
        <w:rPr/>
      </w:pPr>
      <w:r w:rsidDel="00000000" w:rsidR="00000000" w:rsidRPr="00000000">
        <w:rPr>
          <w:rtl w:val="0"/>
        </w:rPr>
        <w:t xml:space="preserve">- Focus on clarity, not perfection</w:t>
      </w:r>
    </w:p>
    <w:p w:rsidR="00000000" w:rsidDel="00000000" w:rsidP="00000000" w:rsidRDefault="00000000" w:rsidRPr="00000000" w14:paraId="0000005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rPr/>
      </w:pPr>
      <w:r w:rsidDel="00000000" w:rsidR="00000000" w:rsidRPr="00000000">
        <w:rPr>
          <w:rtl w:val="0"/>
        </w:rPr>
        <w:t xml:space="preserve">This tool builds strong, dependable business habits.</w:t>
      </w:r>
    </w:p>
    <w:p w:rsidR="00000000" w:rsidDel="00000000" w:rsidP="00000000" w:rsidRDefault="00000000" w:rsidRPr="00000000" w14:paraId="00000052">
      <w:pPr>
        <w:pStyle w:val="Heading2"/>
        <w:rPr/>
      </w:pPr>
      <w:r w:rsidDel="00000000" w:rsidR="00000000" w:rsidRPr="00000000">
        <w:rPr>
          <w:rtl w:val="0"/>
        </w:rPr>
        <w:t xml:space="preserve">Branding</w:t>
      </w:r>
    </w:p>
    <w:p w:rsidR="00000000" w:rsidDel="00000000" w:rsidP="00000000" w:rsidRDefault="00000000" w:rsidRPr="00000000" w14:paraId="00000053">
      <w:pPr>
        <w:rPr/>
      </w:pPr>
      <w:r w:rsidDel="00000000" w:rsidR="00000000" w:rsidRPr="00000000">
        <w:rPr>
          <w:rtl w:val="0"/>
        </w:rPr>
        <w:t xml:space="preserve">ClearMethodIQ — a calm, structured clarity system that supports entrepreneurs in building organized, scalable processes.</w:t>
      </w:r>
    </w:p>
    <w:p w:rsidR="00000000" w:rsidDel="00000000" w:rsidP="00000000" w:rsidRDefault="00000000" w:rsidRPr="00000000" w14:paraId="00000054">
      <w:pPr>
        <w:pStyle w:val="Heading2"/>
        <w:rPr/>
      </w:pPr>
      <w:r w:rsidDel="00000000" w:rsidR="00000000" w:rsidRPr="00000000">
        <w:rPr>
          <w:rtl w:val="0"/>
        </w:rPr>
        <w:t xml:space="preserve">GENIUS Tagline</w:t>
      </w:r>
    </w:p>
    <w:p w:rsidR="00000000" w:rsidDel="00000000" w:rsidP="00000000" w:rsidRDefault="00000000" w:rsidRPr="00000000" w14:paraId="00000055">
      <w:pPr>
        <w:rPr/>
      </w:pPr>
      <w:r w:rsidDel="00000000" w:rsidR="00000000" w:rsidRPr="00000000">
        <w:rPr>
          <w:rtl w:val="0"/>
        </w:rPr>
        <w:t xml:space="preserve">Find the GENIUS method for learning anything:</w:t>
        <w:br w:type="textWrapping"/>
        <w:t xml:space="preserve">www.clearmethodiq.com</w:t>
        <w:br w:type="textWrapping"/>
        <w:t xml:space="preserve">www.idiotmethod.com</w:t>
      </w:r>
    </w:p>
    <w:p w:rsidR="00000000" w:rsidDel="00000000" w:rsidP="00000000" w:rsidRDefault="00000000" w:rsidRPr="00000000" w14:paraId="00000056">
      <w:pPr>
        <w:pStyle w:val="Heading2"/>
        <w:rPr/>
      </w:pPr>
      <w:r w:rsidDel="00000000" w:rsidR="00000000" w:rsidRPr="00000000">
        <w:rPr>
          <w:rtl w:val="0"/>
        </w:rPr>
        <w:t xml:space="preserve">Research Behind This Tool</w:t>
      </w:r>
    </w:p>
    <w:p w:rsidR="00000000" w:rsidDel="00000000" w:rsidP="00000000" w:rsidRDefault="00000000" w:rsidRPr="00000000" w14:paraId="00000057">
      <w:pPr>
        <w:rPr/>
      </w:pPr>
      <w:r w:rsidDel="00000000" w:rsidR="00000000" w:rsidRPr="00000000">
        <w:rPr>
          <w:rtl w:val="0"/>
        </w:rPr>
        <w:t xml:space="preserve">Research shows that step-by-step task analysis, procedural learning, and understanding the purpose behind each step significantly improve accuracy, safety, and long-term mastery.</w:t>
        <w:br w:type="textWrapping"/>
        <w:br w:type="textWrapping"/>
        <w:t xml:space="preserve">Ask ChatGPT:</w:t>
        <w:br w:type="textWrapping"/>
        <w:t xml:space="preserve">“Provide research studies showing how step-by-step task analysis improves clarity, mastery, and performance.”</w:t>
      </w:r>
    </w:p>
    <w:sectPr>
      <w:pgSz w:h="15840" w:w="12240" w:orient="portrait"/>
      <w:pgMar w:bottom="1440" w:top="1440" w:left="1800" w:right="180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mbria"/>
  <w:font w:name="Calibri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mbria" w:cs="Cambria" w:eastAsia="Cambria" w:hAnsi="Cambria"/>
        <w:sz w:val="22"/>
        <w:szCs w:val="22"/>
        <w:lang w:val="en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0" w:before="480" w:lineRule="auto"/>
    </w:pPr>
    <w:rPr>
      <w:rFonts w:ascii="Calibri" w:cs="Calibri" w:eastAsia="Calibri" w:hAnsi="Calibri"/>
      <w:b w:val="1"/>
      <w:bCs w:val="1"/>
      <w:color w:val="366091"/>
      <w:sz w:val="28"/>
      <w:szCs w:val="28"/>
    </w:rPr>
  </w:style>
  <w:style w:type="paragraph" w:styleId="Heading2">
    <w:name w:val="heading 2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i w:val="1"/>
      <w:iCs w:val="1"/>
      <w:color w:val="4f81bd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color w:val="243f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i w:val="1"/>
      <w:iCs w:val="1"/>
      <w:color w:val="243f61"/>
    </w:rPr>
  </w:style>
  <w:style w:type="paragraph" w:styleId="Title">
    <w:name w:val="Title"/>
    <w:basedOn w:val="Normal"/>
    <w:next w:val="Normal"/>
    <w:pPr>
      <w:pBdr>
        <w:bottom w:color="4f81bd" w:space="4" w:sz="8" w:val="single"/>
      </w:pBdr>
      <w:spacing w:after="300" w:line="240" w:lineRule="auto"/>
    </w:pPr>
    <w:rPr>
      <w:rFonts w:ascii="Calibri" w:cs="Calibri" w:eastAsia="Calibri" w:hAnsi="Calibri"/>
      <w:color w:val="17365d"/>
      <w:sz w:val="52"/>
      <w:szCs w:val="52"/>
    </w:rPr>
  </w:style>
  <w:style w:type="paragraph" w:styleId="Header">
    <w:name w:val="header"/>
    <w:basedOn w:val="Normal"/>
    <w:link w:val="HeaderCh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E618BF"/>
  </w:style>
  <w:style w:type="paragraph" w:styleId="Heading7">
    <w:name w:val="heading 7"/>
    <w:basedOn w:val="Normal"/>
    <w:next w:val="Normal"/>
    <w:link w:val="Heading7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6"/>
    </w:pPr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paragraph" w:styleId="Heading8">
    <w:name w:val="heading 8"/>
    <w:basedOn w:val="Normal"/>
    <w:next w:val="Normal"/>
    <w:link w:val="Heading8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7"/>
    </w:pPr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8"/>
    </w:pPr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NoSpacing">
    <w:name w:val="No Spacing"/>
    <w:uiPriority w:val="1"/>
    <w:qFormat w:val="1"/>
    <w:rsid w:val="00FC693F"/>
    <w:pPr>
      <w:spacing w:after="0" w:line="240" w:lineRule="auto"/>
    </w:pPr>
  </w:style>
  <w:style w:type="character" w:styleId="Heading1Char" w:customStyle="1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 w:val="1"/>
      <w:bCs w:val="1"/>
      <w:color w:val="365f91" w:themeColor="accent1" w:themeShade="0000BF"/>
      <w:sz w:val="28"/>
      <w:szCs w:val="28"/>
    </w:rPr>
  </w:style>
  <w:style w:type="character" w:styleId="Heading2Char" w:customStyle="1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  <w:sz w:val="26"/>
      <w:szCs w:val="26"/>
    </w:rPr>
  </w:style>
  <w:style w:type="character" w:styleId="Heading3Char" w:customStyle="1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</w:rPr>
  </w:style>
  <w:style w:type="character" w:styleId="TitleChar" w:customStyle="1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val="17365d" w:themeColor="text2" w:themeShade="0000BF"/>
      <w:spacing w:val="5"/>
      <w:kern w:val="28"/>
      <w:sz w:val="52"/>
      <w:szCs w:val="52"/>
    </w:rPr>
  </w:style>
  <w:style w:type="character" w:styleId="SubtitleChar" w:customStyle="1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 w:val="1"/>
      <w:iCs w:val="1"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 w:val="1"/>
    <w:rsid w:val="00FC693F"/>
    <w:pPr>
      <w:ind w:left="720"/>
      <w:contextualSpacing w:val="1"/>
    </w:pPr>
  </w:style>
  <w:style w:type="paragraph" w:styleId="BodyText">
    <w:name w:val="Body Text"/>
    <w:basedOn w:val="Normal"/>
    <w:link w:val="BodyTextChar"/>
    <w:uiPriority w:val="99"/>
    <w:unhideWhenUsed w:val="1"/>
    <w:rsid w:val="00AA1D8D"/>
    <w:pPr>
      <w:spacing w:after="120"/>
    </w:pPr>
  </w:style>
  <w:style w:type="character" w:styleId="BodyTextChar" w:customStyle="1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 w:val="1"/>
    <w:rsid w:val="00AA1D8D"/>
    <w:pPr>
      <w:spacing w:after="120" w:line="480" w:lineRule="auto"/>
    </w:pPr>
  </w:style>
  <w:style w:type="character" w:styleId="BodyText2Char" w:customStyle="1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 w:val="1"/>
    <w:rsid w:val="00AA1D8D"/>
    <w:pPr>
      <w:spacing w:after="120"/>
    </w:pPr>
    <w:rPr>
      <w:sz w:val="16"/>
      <w:szCs w:val="16"/>
    </w:rPr>
  </w:style>
  <w:style w:type="character" w:styleId="BodyText3Char" w:customStyle="1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 w:val="1"/>
    <w:rsid w:val="00AA1D8D"/>
    <w:pPr>
      <w:ind w:left="360" w:hanging="360"/>
      <w:contextualSpacing w:val="1"/>
    </w:pPr>
  </w:style>
  <w:style w:type="paragraph" w:styleId="List2">
    <w:name w:val="List 2"/>
    <w:basedOn w:val="Normal"/>
    <w:uiPriority w:val="99"/>
    <w:unhideWhenUsed w:val="1"/>
    <w:rsid w:val="00326F90"/>
    <w:pPr>
      <w:ind w:left="720" w:hanging="360"/>
      <w:contextualSpacing w:val="1"/>
    </w:pPr>
  </w:style>
  <w:style w:type="paragraph" w:styleId="List3">
    <w:name w:val="List 3"/>
    <w:basedOn w:val="Normal"/>
    <w:uiPriority w:val="99"/>
    <w:unhideWhenUsed w:val="1"/>
    <w:rsid w:val="00326F90"/>
    <w:pPr>
      <w:ind w:left="1080" w:hanging="360"/>
      <w:contextualSpacing w:val="1"/>
    </w:pPr>
  </w:style>
  <w:style w:type="paragraph" w:styleId="ListBullet">
    <w:name w:val="List Bullet"/>
    <w:basedOn w:val="Normal"/>
    <w:uiPriority w:val="99"/>
    <w:unhideWhenUsed w:val="1"/>
    <w:rsid w:val="00326F90"/>
    <w:pPr>
      <w:numPr>
        <w:numId w:val="1"/>
      </w:numPr>
      <w:contextualSpacing w:val="1"/>
    </w:pPr>
  </w:style>
  <w:style w:type="paragraph" w:styleId="ListBullet2">
    <w:name w:val="List Bullet 2"/>
    <w:basedOn w:val="Normal"/>
    <w:uiPriority w:val="99"/>
    <w:unhideWhenUsed w:val="1"/>
    <w:rsid w:val="00326F90"/>
    <w:pPr>
      <w:numPr>
        <w:numId w:val="2"/>
      </w:numPr>
      <w:contextualSpacing w:val="1"/>
    </w:pPr>
  </w:style>
  <w:style w:type="paragraph" w:styleId="ListBullet3">
    <w:name w:val="List Bullet 3"/>
    <w:basedOn w:val="Normal"/>
    <w:uiPriority w:val="99"/>
    <w:unhideWhenUsed w:val="1"/>
    <w:rsid w:val="00326F90"/>
    <w:pPr>
      <w:numPr>
        <w:numId w:val="3"/>
      </w:numPr>
      <w:contextualSpacing w:val="1"/>
    </w:pPr>
  </w:style>
  <w:style w:type="paragraph" w:styleId="ListNumber">
    <w:name w:val="List Number"/>
    <w:basedOn w:val="Normal"/>
    <w:uiPriority w:val="99"/>
    <w:unhideWhenUsed w:val="1"/>
    <w:rsid w:val="00326F90"/>
    <w:pPr>
      <w:numPr>
        <w:numId w:val="5"/>
      </w:numPr>
      <w:contextualSpacing w:val="1"/>
    </w:pPr>
  </w:style>
  <w:style w:type="paragraph" w:styleId="ListNumber2">
    <w:name w:val="List Number 2"/>
    <w:basedOn w:val="Normal"/>
    <w:uiPriority w:val="99"/>
    <w:unhideWhenUsed w:val="1"/>
    <w:rsid w:val="0029639D"/>
    <w:pPr>
      <w:numPr>
        <w:numId w:val="6"/>
      </w:numPr>
      <w:contextualSpacing w:val="1"/>
    </w:pPr>
  </w:style>
  <w:style w:type="paragraph" w:styleId="ListNumber3">
    <w:name w:val="List Number 3"/>
    <w:basedOn w:val="Normal"/>
    <w:uiPriority w:val="99"/>
    <w:unhideWhenUsed w:val="1"/>
    <w:rsid w:val="0029639D"/>
    <w:pPr>
      <w:numPr>
        <w:numId w:val="7"/>
      </w:numPr>
      <w:contextualSpacing w:val="1"/>
    </w:pPr>
  </w:style>
  <w:style w:type="paragraph" w:styleId="ListContinue">
    <w:name w:val="List Continue"/>
    <w:basedOn w:val="Normal"/>
    <w:uiPriority w:val="99"/>
    <w:unhideWhenUsed w:val="1"/>
    <w:rsid w:val="0029639D"/>
    <w:pPr>
      <w:spacing w:after="120"/>
      <w:ind w:left="360"/>
      <w:contextualSpacing w:val="1"/>
    </w:pPr>
  </w:style>
  <w:style w:type="paragraph" w:styleId="ListContinue2">
    <w:name w:val="List Continue 2"/>
    <w:basedOn w:val="Normal"/>
    <w:uiPriority w:val="99"/>
    <w:unhideWhenUsed w:val="1"/>
    <w:rsid w:val="0029639D"/>
    <w:pPr>
      <w:spacing w:after="120"/>
      <w:ind w:left="720"/>
      <w:contextualSpacing w:val="1"/>
    </w:pPr>
  </w:style>
  <w:style w:type="paragraph" w:styleId="ListContinue3">
    <w:name w:val="List Continue 3"/>
    <w:basedOn w:val="Normal"/>
    <w:uiPriority w:val="99"/>
    <w:unhideWhenUsed w:val="1"/>
    <w:rsid w:val="0029639D"/>
    <w:pPr>
      <w:spacing w:after="120"/>
      <w:ind w:left="1080"/>
      <w:contextualSpacing w:val="1"/>
    </w:pPr>
  </w:style>
  <w:style w:type="paragraph" w:styleId="MacroText">
    <w:name w:val="macro"/>
    <w:link w:val="MacroTextChar"/>
    <w:uiPriority w:val="99"/>
    <w:unhideWhenUsed w:val="1"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styleId="MacroTextChar" w:customStyle="1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 w:val="1"/>
    <w:rsid w:val="00FC693F"/>
    <w:rPr>
      <w:i w:val="1"/>
      <w:iCs w:val="1"/>
      <w:color w:val="000000" w:themeColor="text1"/>
    </w:rPr>
  </w:style>
  <w:style w:type="character" w:styleId="QuoteChar" w:customStyle="1">
    <w:name w:val="Quote Char"/>
    <w:basedOn w:val="DefaultParagraphFont"/>
    <w:link w:val="Quote"/>
    <w:uiPriority w:val="29"/>
    <w:rsid w:val="00FC693F"/>
    <w:rPr>
      <w:i w:val="1"/>
      <w:iCs w:val="1"/>
      <w:color w:val="000000" w:themeColor="text1"/>
    </w:rPr>
  </w:style>
  <w:style w:type="character" w:styleId="Heading4Char" w:customStyle="1">
    <w:name w:val="Heading 4 Char"/>
    <w:basedOn w:val="DefaultParagraphFont"/>
    <w:link w:val="Heading4"/>
    <w:uiPriority w:val="9"/>
    <w:semiHidden w:val="1"/>
    <w:rsid w:val="00FC693F"/>
    <w:rPr>
      <w:rFonts w:asciiTheme="majorHAnsi" w:cstheme="majorBidi" w:eastAsiaTheme="majorEastAsia" w:hAnsiTheme="majorHAnsi"/>
      <w:b w:val="1"/>
      <w:bCs w:val="1"/>
      <w:i w:val="1"/>
      <w:iCs w:val="1"/>
      <w:color w:val="4f81bd" w:themeColor="accent1"/>
    </w:rPr>
  </w:style>
  <w:style w:type="character" w:styleId="Heading5Char" w:customStyle="1">
    <w:name w:val="Heading 5 Char"/>
    <w:basedOn w:val="DefaultParagraphFont"/>
    <w:link w:val="Heading5"/>
    <w:uiPriority w:val="9"/>
    <w:semiHidden w:val="1"/>
    <w:rsid w:val="00FC693F"/>
    <w:rPr>
      <w:rFonts w:asciiTheme="majorHAnsi" w:cstheme="majorBidi" w:eastAsiaTheme="majorEastAsia" w:hAnsiTheme="majorHAnsi"/>
      <w:color w:val="243f60" w:themeColor="accent1" w:themeShade="00007F"/>
    </w:rPr>
  </w:style>
  <w:style w:type="character" w:styleId="Heading6Char" w:customStyle="1">
    <w:name w:val="Heading 6 Char"/>
    <w:basedOn w:val="DefaultParagraphFont"/>
    <w:link w:val="Heading6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243f60" w:themeColor="accent1" w:themeShade="00007F"/>
    </w:rPr>
  </w:style>
  <w:style w:type="character" w:styleId="Heading7Char" w:customStyle="1">
    <w:name w:val="Heading 7 Char"/>
    <w:basedOn w:val="DefaultParagraphFont"/>
    <w:link w:val="Heading7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character" w:styleId="Heading8Char" w:customStyle="1">
    <w:name w:val="Heading 8 Char"/>
    <w:basedOn w:val="DefaultParagraphFont"/>
    <w:link w:val="Heading8"/>
    <w:uiPriority w:val="9"/>
    <w:semiHidden w:val="1"/>
    <w:rsid w:val="00FC693F"/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character" w:styleId="Heading9Char" w:customStyle="1">
    <w:name w:val="Heading 9 Char"/>
    <w:basedOn w:val="DefaultParagraphFont"/>
    <w:link w:val="Heading9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paragraph" w:styleId="Caption">
    <w:name w:val="caption"/>
    <w:basedOn w:val="Normal"/>
    <w:next w:val="Normal"/>
    <w:uiPriority w:val="35"/>
    <w:semiHidden w:val="1"/>
    <w:unhideWhenUsed w:val="1"/>
    <w:qFormat w:val="1"/>
    <w:rsid w:val="00FC693F"/>
    <w:pPr>
      <w:spacing w:line="240" w:lineRule="auto"/>
    </w:pPr>
    <w:rPr>
      <w:b w:val="1"/>
      <w:bCs w:val="1"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 w:val="1"/>
    <w:rsid w:val="00FC693F"/>
    <w:rPr>
      <w:b w:val="1"/>
      <w:bCs w:val="1"/>
    </w:rPr>
  </w:style>
  <w:style w:type="character" w:styleId="Emphasis">
    <w:name w:val="Emphasis"/>
    <w:basedOn w:val="DefaultParagraphFont"/>
    <w:uiPriority w:val="20"/>
    <w:qFormat w:val="1"/>
    <w:rsid w:val="00FC693F"/>
    <w:rPr>
      <w:i w:val="1"/>
      <w:iCs w:val="1"/>
    </w:rPr>
  </w:style>
  <w:style w:type="paragraph" w:styleId="IntenseQuote">
    <w:name w:val="Intense Quote"/>
    <w:basedOn w:val="Normal"/>
    <w:next w:val="Normal"/>
    <w:link w:val="IntenseQuoteChar"/>
    <w:uiPriority w:val="30"/>
    <w:qFormat w:val="1"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 w:val="1"/>
      <w:bCs w:val="1"/>
      <w:i w:val="1"/>
      <w:iCs w:val="1"/>
      <w:color w:val="4f81bd" w:themeColor="accent1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FC693F"/>
    <w:rPr>
      <w:b w:val="1"/>
      <w:bCs w:val="1"/>
      <w:i w:val="1"/>
      <w:iCs w:val="1"/>
      <w:color w:val="4f81bd" w:themeColor="accent1"/>
    </w:rPr>
  </w:style>
  <w:style w:type="character" w:styleId="SubtleEmphasis">
    <w:name w:val="Subtle Emphasis"/>
    <w:basedOn w:val="DefaultParagraphFont"/>
    <w:uiPriority w:val="19"/>
    <w:qFormat w:val="1"/>
    <w:rsid w:val="00FC693F"/>
    <w:rPr>
      <w:i w:val="1"/>
      <w:iCs w:val="1"/>
      <w:color w:val="808080" w:themeColor="text1" w:themeTint="00007F"/>
    </w:rPr>
  </w:style>
  <w:style w:type="character" w:styleId="IntenseEmphasis">
    <w:name w:val="Intense Emphasis"/>
    <w:basedOn w:val="DefaultParagraphFont"/>
    <w:uiPriority w:val="21"/>
    <w:qFormat w:val="1"/>
    <w:rsid w:val="00FC693F"/>
    <w:rPr>
      <w:b w:val="1"/>
      <w:bCs w:val="1"/>
      <w:i w:val="1"/>
      <w:iCs w:val="1"/>
      <w:color w:val="4f81bd" w:themeColor="accent1"/>
    </w:rPr>
  </w:style>
  <w:style w:type="character" w:styleId="SubtleReference">
    <w:name w:val="Subtle Reference"/>
    <w:basedOn w:val="DefaultParagraphFont"/>
    <w:uiPriority w:val="31"/>
    <w:qFormat w:val="1"/>
    <w:rsid w:val="00FC693F"/>
    <w:rPr>
      <w:smallCaps w:val="1"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1"/>
    <w:rsid w:val="00FC693F"/>
    <w:rPr>
      <w:b w:val="1"/>
      <w:bCs w:val="1"/>
      <w:smallCaps w:val="1"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1"/>
    <w:rsid w:val="00FC693F"/>
    <w:rPr>
      <w:b w:val="1"/>
      <w:bCs w:val="1"/>
      <w:smallCaps w:val="1"/>
      <w:spacing w:val="5"/>
    </w:rPr>
  </w:style>
  <w:style w:type="paragraph" w:styleId="TOCHeading">
    <w:name w:val="TOC Heading"/>
    <w:basedOn w:val="Heading1"/>
    <w:next w:val="Normal"/>
    <w:uiPriority w:val="39"/>
    <w:semiHidden w:val="1"/>
    <w:unhideWhenUsed w:val="1"/>
    <w:qFormat w:val="1"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.0" w:type="dxa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0000BF"/>
    </w:rPr>
    <w:tblPr>
      <w:tblStyleRowBandSize w:val="1"/>
      <w:tblStyleColBandSize w:val="1"/>
      <w:tblInd w:w="0.0" w:type="dxa"/>
      <w:tblBorders>
        <w:top w:color="000000" w:space="0" w:sz="8" w:themeColor="text1" w:val="single"/>
        <w:bottom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0000BF"/>
    </w:rPr>
    <w:tblPr>
      <w:tblStyleRowBandSize w:val="1"/>
      <w:tblStyleColBandSize w:val="1"/>
      <w:tblInd w:w="0.0" w:type="dxa"/>
      <w:tblBorders>
        <w:top w:color="4f81bd" w:space="0" w:sz="8" w:themeColor="accent1" w:val="single"/>
        <w:bottom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0000BF"/>
    </w:rPr>
    <w:tblPr>
      <w:tblStyleRowBandSize w:val="1"/>
      <w:tblStyleColBandSize w:val="1"/>
      <w:tblInd w:w="0.0" w:type="dxa"/>
      <w:tblBorders>
        <w:top w:color="c0504d" w:space="0" w:sz="8" w:themeColor="accent2" w:val="single"/>
        <w:bottom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0000BF"/>
    </w:rPr>
    <w:tblPr>
      <w:tblStyleRowBandSize w:val="1"/>
      <w:tblStyleColBandSize w:val="1"/>
      <w:tblInd w:w="0.0" w:type="dxa"/>
      <w:tblBorders>
        <w:top w:color="9bbb59" w:space="0" w:sz="8" w:themeColor="accent3" w:val="single"/>
        <w:bottom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0000BF"/>
    </w:rPr>
    <w:tblPr>
      <w:tblStyleRowBandSize w:val="1"/>
      <w:tblStyleColBandSize w:val="1"/>
      <w:tblInd w:w="0.0" w:type="dxa"/>
      <w:tblBorders>
        <w:top w:color="8064a2" w:space="0" w:sz="8" w:themeColor="accent4" w:val="single"/>
        <w:bottom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0000BF"/>
    </w:rPr>
    <w:tblPr>
      <w:tblStyleRowBandSize w:val="1"/>
      <w:tblStyleColBandSize w:val="1"/>
      <w:tblInd w:w="0.0" w:type="dxa"/>
      <w:tblBorders>
        <w:top w:color="4bacc6" w:space="0" w:sz="8" w:themeColor="accent5" w:val="single"/>
        <w:bottom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0000BF"/>
    </w:rPr>
    <w:tblPr>
      <w:tblStyleRowBandSize w:val="1"/>
      <w:tblStyleColBandSize w:val="1"/>
      <w:tblInd w:w="0.0" w:type="dxa"/>
      <w:tblBorders>
        <w:top w:color="f79646" w:space="0" w:sz="8" w:themeColor="accent6" w:val="single"/>
        <w:bottom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0000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0000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0000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0000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0000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0000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0000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404040" w:space="0" w:sz="8" w:themeColor="text1" w:themeTint="0000BF" w:val="sing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04040" w:space="0" w:sz="6" w:themeColor="text1" w:themeTint="0000BF" w:val="doub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ba0cd" w:space="0" w:sz="8" w:themeColor="accent1" w:themeTint="0000BF" w:val="sing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ba0cd" w:space="0" w:sz="6" w:themeColor="accent1" w:themeTint="0000BF" w:val="doub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cf7b79" w:space="0" w:sz="8" w:themeColor="accent2" w:themeTint="0000BF" w:val="sing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f7b79" w:space="0" w:sz="6" w:themeColor="accent2" w:themeTint="0000BF" w:val="doub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b3cc82" w:space="0" w:sz="8" w:themeColor="accent3" w:themeTint="0000BF" w:val="sing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b3cc82" w:space="0" w:sz="6" w:themeColor="accent3" w:themeTint="0000BF" w:val="doub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9f8ab9" w:space="0" w:sz="8" w:themeColor="accent4" w:themeTint="0000BF" w:val="sing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f8ab9" w:space="0" w:sz="6" w:themeColor="accent4" w:themeTint="0000BF" w:val="doub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8c0d4" w:space="0" w:sz="8" w:themeColor="accent5" w:themeTint="0000BF" w:val="sing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8c0d4" w:space="0" w:sz="6" w:themeColor="accent5" w:themeTint="0000BF" w:val="doub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f9b074" w:space="0" w:sz="8" w:themeColor="accent6" w:themeTint="0000BF" w:val="sing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9b074" w:space="0" w:sz="6" w:themeColor="accent6" w:themeTint="0000BF" w:val="doub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bottom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000000" w:space="0" w:sz="8" w:themeColor="tex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shd w:color="auto" w:fill="c0c0c0" w:themeFill="text1" w:themeFillTint="00003F" w:val="clear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bottom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f81bd" w:space="0" w:sz="8" w:themeColor="accen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shd w:color="auto" w:fill="d3dfee" w:themeFill="accent1" w:themeFillTint="00003F" w:val="clear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bottom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c0504d" w:space="0" w:sz="8" w:themeColor="accent2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shd w:color="auto" w:fill="efd3d2" w:themeFill="accent2" w:themeFillTint="00003F" w:val="clear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bottom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9bbb59" w:space="0" w:sz="8" w:themeColor="accent3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shd w:color="auto" w:fill="e6eed5" w:themeFill="accent3" w:themeFillTint="00003F" w:val="clear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bottom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8064a2" w:space="0" w:sz="8" w:themeColor="accent4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shd w:color="auto" w:fill="dfd8e8" w:themeFill="accent4" w:themeFillTint="00003F" w:val="clear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bottom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bacc6" w:space="0" w:sz="8" w:themeColor="accent5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shd w:color="auto" w:fill="d2eaf1" w:themeFill="accent5" w:themeFillTint="00003F" w:val="clear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bottom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f79646" w:space="0" w:sz="8" w:themeColor="accent6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shd w:color="auto" w:fill="fde4d0" w:themeFill="accent6" w:themeFillTint="00003F" w:val="clear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000000" w:space="0" w:sz="24" w:themeColor="tex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000000" w:space="0" w:sz="8" w:themeColor="tex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000000" w:space="0" w:sz="8" w:themeColor="tex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f81bd" w:space="0" w:sz="24" w:themeColor="accen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f81bd" w:space="0" w:sz="8" w:themeColor="accen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f81bd" w:space="0" w:sz="8" w:themeColor="accen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c0504d" w:space="0" w:sz="8" w:themeColor="accent2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c0504d" w:space="0" w:sz="8" w:themeColor="accent2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9bbb59" w:space="0" w:sz="8" w:themeColor="accent3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9bbb59" w:space="0" w:sz="8" w:themeColor="accent3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8064a2" w:space="0" w:sz="8" w:themeColor="accent4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8064a2" w:space="0" w:sz="8" w:themeColor="accent4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bacc6" w:space="0" w:sz="8" w:themeColor="accent5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bacc6" w:space="0" w:sz="8" w:themeColor="accent5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79646" w:space="0" w:sz="8" w:themeColor="accent6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f79646" w:space="0" w:sz="8" w:themeColor="accent6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  <w:insideV w:color="404040" w:space="0" w:sz="8" w:themeColor="tex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404040" w:space="0" w:sz="18" w:themeColor="tex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  <w:insideV w:color="7ba0cd" w:space="0" w:sz="8" w:themeColor="accen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ba0cd" w:space="0" w:sz="18" w:themeColor="accen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  <w:insideV w:color="cf7b79" w:space="0" w:sz="8" w:themeColor="accent2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cf7b79" w:space="0" w:sz="18" w:themeColor="accent2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  <w:insideV w:color="b3cc82" w:space="0" w:sz="8" w:themeColor="accent3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b3cc82" w:space="0" w:sz="18" w:themeColor="accent3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  <w:insideV w:color="9f8ab9" w:space="0" w:sz="8" w:themeColor="accent4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9f8ab9" w:space="0" w:sz="18" w:themeColor="accent4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  <w:insideV w:color="78c0d4" w:space="0" w:sz="8" w:themeColor="accent5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8c0d4" w:space="0" w:sz="18" w:themeColor="accent5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  <w:insideV w:color="f9b074" w:space="0" w:sz="8" w:themeColor="accent6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f9b074" w:space="0" w:sz="18" w:themeColor="accent6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6e6e6" w:themeFill="tex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ccccc" w:themeFill="text1" w:themeFillTint="000033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2f8" w:themeFill="accen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be5f1" w:themeFill="accent1" w:themeFillTint="000033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8eded" w:themeFill="accent2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2dbdb" w:themeFill="accent2" w:themeFillTint="000033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5f8ee" w:themeFill="accent3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af1dd" w:themeFill="accent3" w:themeFillTint="000033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2eff6" w:themeFill="accent4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5dfec" w:themeFill="accent4" w:themeFillTint="000033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6f9" w:themeFill="accent5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aeef3" w:themeFill="accent5" w:themeFillTint="000033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ef4ec" w:themeFill="accent6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9d9" w:themeFill="accent6" w:themeFillTint="000033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808080" w:themeFill="tex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00007F" w:val="clear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7bfde" w:themeFill="accen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00007F" w:val="clear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dfa7a6" w:themeFill="accent2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00007F" w:val="clear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cdddac" w:themeFill="accent3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00007F" w:val="clear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bfb1d0" w:themeFill="accent4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00007F" w:val="clear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5d5e2" w:themeFill="accent5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00007F" w:val="clear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fbcaa2" w:themeFill="accent6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00007F" w:val="clear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000000" w:themeFill="tex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4f81bd" w:themeFill="accen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43f60" w:themeFill="accen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504d" w:themeFill="accent2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622423" w:themeFill="accent2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9bbb59" w:themeFill="accent3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e6128" w:themeFill="accent3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8064a2" w:themeFill="accent4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f3151" w:themeFill="accent4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4bacc6" w:themeFill="accent5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05867" w:themeFill="accent5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79646" w:themeFill="accent6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74706" w:themeFill="accent6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6e6" w:themeFill="tex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000000" w:themeFill="tex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000000" w:space="0" w:sz="4" w:themeColor="text1" w:themeShade="000099" w:val="single"/>
          <w:insideV w:space="0" w:sz="0" w:val="nil"/>
        </w:tcBorders>
        <w:shd w:color="auto" w:fill="000000" w:themeFill="tex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shd w:color="auto" w:fill="999999" w:themeFill="text1" w:themeFillTint="000066" w:val="clear"/>
      </w:tcPr>
    </w:tblStylePr>
    <w:tblStylePr w:type="band1Horz">
      <w:tblPr/>
      <w:tcPr>
        <w:shd w:color="auto" w:fill="808080" w:themeFill="tex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2f8" w:themeFill="accen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c4c74" w:space="0" w:sz="4" w:themeColor="accent1" w:themeShade="000099" w:val="single"/>
          <w:insideV w:space="0" w:sz="0" w:val="nil"/>
        </w:tcBorders>
        <w:shd w:color="auto" w:fill="2c4c74" w:themeFill="accen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c4c74" w:themeFill="accent1" w:themeFillShade="000099" w:val="clear"/>
      </w:tcPr>
    </w:tblStylePr>
    <w:tblStylePr w:type="band1Vert">
      <w:tblPr/>
      <w:tcPr>
        <w:shd w:color="auto" w:fill="b8cce4" w:themeFill="accent1" w:themeFillTint="000066" w:val="clear"/>
      </w:tcPr>
    </w:tblStylePr>
    <w:tblStylePr w:type="band1Horz">
      <w:tblPr/>
      <w:tcPr>
        <w:shd w:color="auto" w:fill="a7bfde" w:themeFill="accen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8eded" w:themeFill="accent2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772c2a" w:space="0" w:sz="4" w:themeColor="accent2" w:themeShade="000099" w:val="single"/>
          <w:insideV w:space="0" w:sz="0" w:val="nil"/>
        </w:tcBorders>
        <w:shd w:color="auto" w:fill="772c2a" w:themeFill="accent2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72c2a" w:themeFill="accent2" w:themeFillShade="000099" w:val="clear"/>
      </w:tcPr>
    </w:tblStylePr>
    <w:tblStylePr w:type="band1Vert">
      <w:tblPr/>
      <w:tcPr>
        <w:shd w:color="auto" w:fill="e5b8b7" w:themeFill="accent2" w:themeFillTint="000066" w:val="clear"/>
      </w:tcPr>
    </w:tblStylePr>
    <w:tblStylePr w:type="band1Horz">
      <w:tblPr/>
      <w:tcPr>
        <w:shd w:color="auto" w:fill="dfa7a6" w:themeFill="accent2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5f8ee" w:themeFill="accent3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5e7530" w:space="0" w:sz="4" w:themeColor="accent3" w:themeShade="000099" w:val="single"/>
          <w:insideV w:space="0" w:sz="0" w:val="nil"/>
        </w:tcBorders>
        <w:shd w:color="auto" w:fill="5e7530" w:themeFill="accent3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e7530" w:themeFill="accent3" w:themeFillShade="000099" w:val="clear"/>
      </w:tcPr>
    </w:tblStylePr>
    <w:tblStylePr w:type="band1Vert">
      <w:tblPr/>
      <w:tcPr>
        <w:shd w:color="auto" w:fill="d6e3bc" w:themeFill="accent3" w:themeFillTint="000066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eff6" w:themeFill="accent4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4c3b62" w:space="0" w:sz="4" w:themeColor="accent4" w:themeShade="000099" w:val="single"/>
          <w:insideV w:space="0" w:sz="0" w:val="nil"/>
        </w:tcBorders>
        <w:shd w:color="auto" w:fill="4c3b62" w:themeFill="accent4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c3b62" w:themeFill="accent4" w:themeFillShade="000099" w:val="clear"/>
      </w:tcPr>
    </w:tblStylePr>
    <w:tblStylePr w:type="band1Vert">
      <w:tblPr/>
      <w:tcPr>
        <w:shd w:color="auto" w:fill="ccc0d9" w:themeFill="accent4" w:themeFillTint="000066" w:val="clear"/>
      </w:tcPr>
    </w:tblStylePr>
    <w:tblStylePr w:type="band1Horz">
      <w:tblPr/>
      <w:tcPr>
        <w:shd w:color="auto" w:fill="bfb1d0" w:themeFill="accent4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6f9" w:themeFill="accent5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76a7c" w:space="0" w:sz="4" w:themeColor="accent5" w:themeShade="000099" w:val="single"/>
          <w:insideV w:space="0" w:sz="0" w:val="nil"/>
        </w:tcBorders>
        <w:shd w:color="auto" w:fill="276a7c" w:themeFill="accent5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76a7c" w:themeFill="accent5" w:themeFillShade="000099" w:val="clear"/>
      </w:tcPr>
    </w:tblStylePr>
    <w:tblStylePr w:type="band1Vert">
      <w:tblPr/>
      <w:tcPr>
        <w:shd w:color="auto" w:fill="b6dde8" w:themeFill="accent5" w:themeFillTint="000066" w:val="clear"/>
      </w:tcPr>
    </w:tblStylePr>
    <w:tblStylePr w:type="band1Horz">
      <w:tblPr/>
      <w:tcPr>
        <w:shd w:color="auto" w:fill="a5d5e2" w:themeFill="accent5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ef4ec" w:themeFill="accent6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b65608" w:space="0" w:sz="4" w:themeColor="accent6" w:themeShade="000099" w:val="single"/>
          <w:insideV w:space="0" w:sz="0" w:val="nil"/>
        </w:tcBorders>
        <w:shd w:color="auto" w:fill="b65608" w:themeFill="accent6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b65608" w:themeFill="accent6" w:themeFillShade="000099" w:val="clear"/>
      </w:tcPr>
    </w:tblStylePr>
    <w:tblStylePr w:type="band1Vert">
      <w:tblPr/>
      <w:tcPr>
        <w:shd w:color="auto" w:fill="fbd4b4" w:themeFill="accent6" w:themeFillTint="000066" w:val="clear"/>
      </w:tcPr>
    </w:tblStylePr>
    <w:tblStylePr w:type="band1Horz">
      <w:tblPr/>
      <w:tcPr>
        <w:shd w:color="auto" w:fill="fbcaa2" w:themeFill="accent6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6e6" w:themeFill="tex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shd w:color="auto" w:fill="cccccc" w:themeFill="text1" w:themeFillTint="000033" w:val="clear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2f8" w:themeFill="accen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shd w:color="auto" w:fill="dbe5f1" w:themeFill="accent1" w:themeFillTint="000033" w:val="clear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8eded" w:themeFill="accent2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shd w:color="auto" w:fill="f2dbdb" w:themeFill="accent2" w:themeFillTint="000033" w:val="clear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5f8ee" w:themeFill="accent3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0000CC" w:val="clear"/>
      </w:tcPr>
    </w:tblStylePr>
    <w:tblStylePr w:type="lastRow">
      <w:rPr>
        <w:b w:val="1"/>
        <w:bCs w:val="1"/>
        <w:color w:val="664e82" w:themeColor="accent4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shd w:color="auto" w:fill="eaf1dd" w:themeFill="accent3" w:themeFillTint="000033" w:val="clear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eff6" w:themeFill="accent4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0000CC" w:val="clear"/>
      </w:tcPr>
    </w:tblStylePr>
    <w:tblStylePr w:type="lastRow">
      <w:rPr>
        <w:b w:val="1"/>
        <w:bCs w:val="1"/>
        <w:color w:val="7e9c40" w:themeColor="accent3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shd w:color="auto" w:fill="e5dfec" w:themeFill="accent4" w:themeFillTint="000033" w:val="clear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6f9" w:themeFill="accent5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0000CC" w:val="clear"/>
      </w:tcPr>
    </w:tblStylePr>
    <w:tblStylePr w:type="lastRow">
      <w:rPr>
        <w:b w:val="1"/>
        <w:bCs w:val="1"/>
        <w:color w:val="f2730a" w:themeColor="accent6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shd w:color="auto" w:fill="daeef3" w:themeFill="accent5" w:themeFillTint="000033" w:val="clear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ef4ec" w:themeFill="accent6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0000CC" w:val="clear"/>
      </w:tcPr>
    </w:tblStylePr>
    <w:tblStylePr w:type="lastRow">
      <w:rPr>
        <w:b w:val="1"/>
        <w:bCs w:val="1"/>
        <w:color w:val="348da5" w:themeColor="accent5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shd w:color="auto" w:fill="fde9d9" w:themeFill="accent6" w:themeFillTint="000033" w:val="clear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ccccc" w:themeFill="text1" w:themeFillTint="000033" w:val="clear"/>
    </w:tcPr>
    <w:tblStylePr w:type="firstRow">
      <w:rPr>
        <w:b w:val="1"/>
        <w:bCs w:val="1"/>
      </w:rPr>
      <w:tblPr/>
      <w:tcPr>
        <w:shd w:color="auto" w:fill="999999" w:themeFill="tex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999999" w:themeFill="text1" w:themeFillTint="000066" w:val="clear"/>
      </w:tcPr>
    </w:tblStylePr>
    <w:tblStylePr w:type="fir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la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be5f1" w:themeFill="accent1" w:themeFillTint="000033" w:val="clear"/>
    </w:tcPr>
    <w:tblStylePr w:type="firstRow">
      <w:rPr>
        <w:b w:val="1"/>
        <w:bCs w:val="1"/>
      </w:rPr>
      <w:tblPr/>
      <w:tcPr>
        <w:shd w:color="auto" w:fill="b8cce4" w:themeFill="accen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8cce4" w:themeFill="accent1" w:themeFillTint="000066" w:val="clear"/>
      </w:tcPr>
    </w:tblStylePr>
    <w:tblStylePr w:type="fir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la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dbdb" w:themeFill="accent2" w:themeFillTint="000033" w:val="clear"/>
    </w:tcPr>
    <w:tblStylePr w:type="firstRow">
      <w:rPr>
        <w:b w:val="1"/>
        <w:bCs w:val="1"/>
      </w:rPr>
      <w:tblPr/>
      <w:tcPr>
        <w:shd w:color="auto" w:fill="e5b8b7" w:themeFill="accent2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e5b8b7" w:themeFill="accent2" w:themeFillTint="000066" w:val="clear"/>
      </w:tcPr>
    </w:tblStylePr>
    <w:tblStylePr w:type="fir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la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af1dd" w:themeFill="accent3" w:themeFillTint="000033" w:val="clear"/>
    </w:tcPr>
    <w:tblStylePr w:type="firstRow">
      <w:rPr>
        <w:b w:val="1"/>
        <w:bCs w:val="1"/>
      </w:rPr>
      <w:tblPr/>
      <w:tcPr>
        <w:shd w:color="auto" w:fill="d6e3bc" w:themeFill="accent3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d6e3bc" w:themeFill="accent3" w:themeFillTint="000066" w:val="clear"/>
      </w:tcPr>
    </w:tblStylePr>
    <w:tblStylePr w:type="fir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la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5dfec" w:themeFill="accent4" w:themeFillTint="000033" w:val="clear"/>
    </w:tcPr>
    <w:tblStylePr w:type="firstRow">
      <w:rPr>
        <w:b w:val="1"/>
        <w:bCs w:val="1"/>
      </w:rPr>
      <w:tblPr/>
      <w:tcPr>
        <w:shd w:color="auto" w:fill="ccc0d9" w:themeFill="accent4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ccc0d9" w:themeFill="accent4" w:themeFillTint="000066" w:val="clear"/>
      </w:tcPr>
    </w:tblStylePr>
    <w:tblStylePr w:type="fir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la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aeef3" w:themeFill="accent5" w:themeFillTint="000033" w:val="clear"/>
    </w:tcPr>
    <w:tblStylePr w:type="firstRow">
      <w:rPr>
        <w:b w:val="1"/>
        <w:bCs w:val="1"/>
      </w:rPr>
      <w:tblPr/>
      <w:tcPr>
        <w:shd w:color="auto" w:fill="b6dde8" w:themeFill="accent5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6dde8" w:themeFill="accent5" w:themeFillTint="000066" w:val="clear"/>
      </w:tcPr>
    </w:tblStylePr>
    <w:tblStylePr w:type="fir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la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9d9" w:themeFill="accent6" w:themeFillTint="000033" w:val="clear"/>
    </w:tcPr>
    <w:tblStylePr w:type="firstRow">
      <w:rPr>
        <w:b w:val="1"/>
        <w:bCs w:val="1"/>
      </w:rPr>
      <w:tblPr/>
      <w:tcPr>
        <w:shd w:color="auto" w:fill="fbd4b4" w:themeFill="accent6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fbd4b4" w:themeFill="accent6" w:themeFillTint="000066" w:val="clear"/>
      </w:tcPr>
    </w:tblStylePr>
    <w:tblStylePr w:type="fir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la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paragraph" w:styleId="Subtitle">
    <w:name w:val="Subtitle"/>
    <w:basedOn w:val="Normal"/>
    <w:next w:val="Normal"/>
    <w:pPr/>
    <w:rPr>
      <w:rFonts w:ascii="Calibri" w:cs="Calibri" w:eastAsia="Calibri" w:hAnsi="Calibri"/>
      <w:i w:val="1"/>
      <w:iCs w:val="1"/>
      <w:color w:val="4f81bd"/>
      <w:sz w:val="24"/>
      <w:szCs w:val="24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KRZoow+mKyne1GjMf9lryxiMjkw==">CgMxLjA4AHIhMXRFaFlQMGlscnNEUWVGV2U1UVRlWTV6SmhhTldSWEt4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</cp:coreProperties>
</file>