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Instructions – Tool #15: Blind Spot Detector (Ages 7–12)</w:t>
        <w:br w:type="textWrapping"/>
        <w:t xml:space="preserve">ClearMethodIQ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Teacher,</w:t>
        <w:br w:type="textWrapping"/>
        <w:br w:type="textWrapping"/>
        <w:t xml:space="preserve">Tool #15 — Blind Spot Detector (Ages 7–12) is a gentle reflection activity that helps young learners notice what they know, what they don’t know yet, and what they may not realize they are missing. This tool builds curiosity, humility, and calm thinking about the unknown.</w:t>
      </w:r>
    </w:p>
    <w:p w:rsidR="00000000" w:rsidDel="00000000" w:rsidP="00000000" w:rsidRDefault="00000000" w:rsidRPr="00000000" w14:paraId="00000004">
      <w:pPr>
        <w:pStyle w:val="Heading2"/>
        <w:rPr/>
      </w:pPr>
      <w:r w:rsidDel="00000000" w:rsidR="00000000" w:rsidRPr="00000000">
        <w:rPr>
          <w:rtl w:val="0"/>
        </w:rPr>
        <w:t xml:space="preserve">A. What This Tool Is</w:t>
      </w:r>
    </w:p>
    <w:p w:rsidR="00000000" w:rsidDel="00000000" w:rsidP="00000000" w:rsidRDefault="00000000" w:rsidRPr="00000000" w14:paraId="00000005">
      <w:pPr>
        <w:rPr/>
      </w:pPr>
      <w:r w:rsidDel="00000000" w:rsidR="00000000" w:rsidRPr="00000000">
        <w:rPr>
          <w:rtl w:val="0"/>
        </w:rPr>
        <w:t xml:space="preserve">Tool 15 helps students explore four types of knowledge:</w:t>
        <w:br w:type="textWrapping"/>
        <w:t xml:space="preserve">1. Things I Know</w:t>
        <w:br w:type="textWrapping"/>
        <w:t xml:space="preserve">2. Things I Know I Don’t Know</w:t>
        <w:br w:type="textWrapping"/>
        <w:t xml:space="preserve">3. Things I Don’t Know I Don’t Know</w:t>
        <w:br w:type="textWrapping"/>
        <w:t xml:space="preserve">4. Things I Learned Without Realizing</w:t>
        <w:br w:type="textWrapping"/>
        <w:br w:type="textWrapping"/>
        <w:t xml:space="preserve">It introduces the idea of blind spots in a safe, age-appropriate way.</w:t>
      </w:r>
    </w:p>
    <w:p w:rsidR="00000000" w:rsidDel="00000000" w:rsidP="00000000" w:rsidRDefault="00000000" w:rsidRPr="00000000" w14:paraId="00000006">
      <w:pPr>
        <w:pStyle w:val="Heading2"/>
        <w:rPr/>
      </w:pPr>
      <w:r w:rsidDel="00000000" w:rsidR="00000000" w:rsidRPr="00000000">
        <w:rPr>
          <w:rtl w:val="0"/>
        </w:rPr>
        <w:t xml:space="preserve">B. Purpose of the Tool</w:t>
      </w:r>
    </w:p>
    <w:p w:rsidR="00000000" w:rsidDel="00000000" w:rsidP="00000000" w:rsidRDefault="00000000" w:rsidRPr="00000000" w14:paraId="00000007">
      <w:pPr>
        <w:rPr/>
      </w:pPr>
      <w:r w:rsidDel="00000000" w:rsidR="00000000" w:rsidRPr="00000000">
        <w:rPr>
          <w:rtl w:val="0"/>
        </w:rPr>
        <w:t xml:space="preserve">This tool helps students:</w:t>
        <w:br w:type="textWrapping"/>
        <w:t xml:space="preserve">- Feel safe not knowing</w:t>
        <w:br w:type="textWrapping"/>
        <w:t xml:space="preserve">- Understand that confusion is normal</w:t>
        <w:br w:type="textWrapping"/>
        <w:t xml:space="preserve">- Discover learning opportunities</w:t>
        <w:br w:type="textWrapping"/>
        <w:t xml:space="preserve">- Build curiosity instead of fear</w:t>
        <w:br w:type="textWrapping"/>
        <w:br w:type="textWrapping"/>
        <w:t xml:space="preserve">Great learning begins by noticing the unknown.</w:t>
      </w:r>
    </w:p>
    <w:p w:rsidR="00000000" w:rsidDel="00000000" w:rsidP="00000000" w:rsidRDefault="00000000" w:rsidRPr="00000000" w14:paraId="00000008">
      <w:pPr>
        <w:pStyle w:val="Heading2"/>
        <w:rPr/>
      </w:pPr>
      <w:r w:rsidDel="00000000" w:rsidR="00000000" w:rsidRPr="00000000">
        <w:rPr>
          <w:rtl w:val="0"/>
        </w:rPr>
        <w:t xml:space="preserve">C. The Golden Rule / Most Important Tip</w:t>
      </w:r>
    </w:p>
    <w:p w:rsidR="00000000" w:rsidDel="00000000" w:rsidP="00000000" w:rsidRDefault="00000000" w:rsidRPr="00000000" w14:paraId="00000009">
      <w:pPr>
        <w:rPr/>
      </w:pPr>
      <w:r w:rsidDel="00000000" w:rsidR="00000000" w:rsidRPr="00000000">
        <w:rPr>
          <w:rtl w:val="0"/>
        </w:rPr>
        <w:t xml:space="preserve">“The unknown is not scary — it is where learning starts.”</w:t>
        <w:br w:type="textWrapping"/>
        <w:br w:type="textWrapping"/>
        <w:t xml:space="preserve">Students should feel no pressure, no rush, and no judgment.</w:t>
      </w:r>
    </w:p>
    <w:p w:rsidR="00000000" w:rsidDel="00000000" w:rsidP="00000000" w:rsidRDefault="00000000" w:rsidRPr="00000000" w14:paraId="0000000A">
      <w:pPr>
        <w:pStyle w:val="Heading2"/>
        <w:rPr/>
      </w:pPr>
      <w:r w:rsidDel="00000000" w:rsidR="00000000" w:rsidRPr="00000000">
        <w:rPr>
          <w:rtl w:val="0"/>
        </w:rPr>
        <w:t xml:space="preserve">D. Starting the Conversation</w:t>
      </w:r>
    </w:p>
    <w:p w:rsidR="00000000" w:rsidDel="00000000" w:rsidP="00000000" w:rsidRDefault="00000000" w:rsidRPr="00000000" w14:paraId="0000000B">
      <w:pPr>
        <w:rPr/>
      </w:pPr>
      <w:r w:rsidDel="00000000" w:rsidR="00000000" w:rsidRPr="00000000">
        <w:rPr>
          <w:rtl w:val="0"/>
        </w:rPr>
        <w:t xml:space="preserve">You can begin by saying:</w:t>
        <w:br w:type="textWrapping"/>
        <w:t xml:space="preserve">“Everyone has things they don’t know yet.”</w:t>
        <w:br w:type="textWrapping"/>
        <w:t xml:space="preserve">“Today we’re exploring learning fog together.”</w:t>
        <w:br w:type="textWrapping"/>
        <w:t xml:space="preserve">“Not knowing helps us grow.”</w:t>
        <w:br w:type="textWrapping"/>
        <w:br w:type="textWrapping"/>
        <w:t xml:space="preserve">Model a simple example first.</w:t>
      </w:r>
    </w:p>
    <w:p w:rsidR="00000000" w:rsidDel="00000000" w:rsidP="00000000" w:rsidRDefault="00000000" w:rsidRPr="00000000" w14:paraId="0000000C">
      <w:pPr>
        <w:pStyle w:val="Heading2"/>
        <w:rPr/>
      </w:pPr>
      <w:r w:rsidDel="00000000" w:rsidR="00000000" w:rsidRPr="00000000">
        <w:rPr>
          <w:rtl w:val="0"/>
        </w:rPr>
        <w:t xml:space="preserve">E. Choosing a Topic / When to Use</w:t>
      </w:r>
    </w:p>
    <w:p w:rsidR="00000000" w:rsidDel="00000000" w:rsidP="00000000" w:rsidRDefault="00000000" w:rsidRPr="00000000" w14:paraId="0000000D">
      <w:pPr>
        <w:rPr/>
      </w:pPr>
      <w:r w:rsidDel="00000000" w:rsidR="00000000" w:rsidRPr="00000000">
        <w:rPr>
          <w:rtl w:val="0"/>
        </w:rPr>
        <w:t xml:space="preserve">Use this tool:</w:t>
        <w:br w:type="textWrapping"/>
        <w:t xml:space="preserve">- At the start of a lesson or unit</w:t>
        <w:br w:type="textWrapping"/>
        <w:t xml:space="preserve">- When students feel stuck</w:t>
        <w:br w:type="textWrapping"/>
        <w:t xml:space="preserve">- After mistakes or confusion</w:t>
        <w:br w:type="textWrapping"/>
        <w:t xml:space="preserve">- During reflection time</w:t>
      </w:r>
    </w:p>
    <w:p w:rsidR="00000000" w:rsidDel="00000000" w:rsidP="00000000" w:rsidRDefault="00000000" w:rsidRPr="00000000" w14:paraId="0000000E">
      <w:pPr>
        <w:pStyle w:val="Heading2"/>
        <w:rPr/>
      </w:pPr>
      <w:r w:rsidDel="00000000" w:rsidR="00000000" w:rsidRPr="00000000">
        <w:rPr>
          <w:rtl w:val="0"/>
        </w:rPr>
        <w:t xml:space="preserve">F. What Happens Next</w:t>
      </w:r>
    </w:p>
    <w:p w:rsidR="00000000" w:rsidDel="00000000" w:rsidP="00000000" w:rsidRDefault="00000000" w:rsidRPr="00000000" w14:paraId="0000000F">
      <w:pPr>
        <w:rPr/>
      </w:pPr>
      <w:r w:rsidDel="00000000" w:rsidR="00000000" w:rsidRPr="00000000">
        <w:rPr>
          <w:rtl w:val="0"/>
        </w:rPr>
        <w:t xml:space="preserve">Students will:</w:t>
        <w:br w:type="textWrapping"/>
        <w:t xml:space="preserve">- Sort their thinking</w:t>
        <w:br w:type="textWrapping"/>
        <w:t xml:space="preserve">- Discover learning gaps</w:t>
        <w:br w:type="textWrapping"/>
        <w:t xml:space="preserve">- Feel calmer about confusion</w:t>
        <w:br w:type="textWrapping"/>
        <w:br w:type="textWrapping"/>
        <w:t xml:space="preserve">Teachers can adjust lessons using patterns.</w:t>
      </w:r>
    </w:p>
    <w:p w:rsidR="00000000" w:rsidDel="00000000" w:rsidP="00000000" w:rsidRDefault="00000000" w:rsidRPr="00000000" w14:paraId="00000010">
      <w:pPr>
        <w:pStyle w:val="Heading2"/>
        <w:rPr/>
      </w:pPr>
      <w:r w:rsidDel="00000000" w:rsidR="00000000" w:rsidRPr="00000000">
        <w:rPr>
          <w:rtl w:val="0"/>
        </w:rPr>
        <w:t xml:space="preserve">G. Let Their Thinking Branch Out</w:t>
      </w:r>
    </w:p>
    <w:p w:rsidR="00000000" w:rsidDel="00000000" w:rsidP="00000000" w:rsidRDefault="00000000" w:rsidRPr="00000000" w14:paraId="00000011">
      <w:pPr>
        <w:rPr/>
      </w:pPr>
      <w:r w:rsidDel="00000000" w:rsidR="00000000" w:rsidRPr="00000000">
        <w:rPr>
          <w:rtl w:val="0"/>
        </w:rPr>
        <w:t xml:space="preserve">Ask:</w:t>
        <w:br w:type="textWrapping"/>
        <w:t xml:space="preserve">“What surprised you?”</w:t>
        <w:br w:type="textWrapping"/>
        <w:t xml:space="preserve">“What would you like to learn next?”</w:t>
        <w:br w:type="textWrapping"/>
        <w:t xml:space="preserve">“What questions came up?”</w:t>
        <w:br w:type="textWrapping"/>
        <w:br w:type="textWrapping"/>
        <w:t xml:space="preserve">Connect to Tools 1–4.</w:t>
      </w:r>
    </w:p>
    <w:p w:rsidR="00000000" w:rsidDel="00000000" w:rsidP="00000000" w:rsidRDefault="00000000" w:rsidRPr="00000000" w14:paraId="00000012">
      <w:pPr>
        <w:pStyle w:val="Heading2"/>
        <w:rPr/>
      </w:pPr>
      <w:r w:rsidDel="00000000" w:rsidR="00000000" w:rsidRPr="00000000">
        <w:rPr>
          <w:rtl w:val="0"/>
        </w:rPr>
        <w:t xml:space="preserve">H. Notes &amp; Guidance for Teachers</w:t>
      </w:r>
    </w:p>
    <w:p w:rsidR="00000000" w:rsidDel="00000000" w:rsidP="00000000" w:rsidRDefault="00000000" w:rsidRPr="00000000" w14:paraId="00000013">
      <w:pPr>
        <w:rPr/>
      </w:pPr>
      <w:r w:rsidDel="00000000" w:rsidR="00000000" w:rsidRPr="00000000">
        <w:rPr>
          <w:rtl w:val="0"/>
        </w:rPr>
        <w:t xml:space="preserve">Praise honesty.</w:t>
        <w:br w:type="textWrapping"/>
        <w:t xml:space="preserve">Never judge responses.</w:t>
        <w:br w:type="textWrapping"/>
        <w:t xml:space="preserve">Encourage slow thinking.</w:t>
        <w:br w:type="textWrapping"/>
        <w:t xml:space="preserve">Normalize blind spots.</w:t>
      </w:r>
    </w:p>
    <w:p w:rsidR="00000000" w:rsidDel="00000000" w:rsidP="00000000" w:rsidRDefault="00000000" w:rsidRPr="00000000" w14:paraId="00000014">
      <w:pPr>
        <w:pStyle w:val="Heading2"/>
        <w:rPr/>
      </w:pPr>
      <w:r w:rsidDel="00000000" w:rsidR="00000000" w:rsidRPr="00000000">
        <w:rPr>
          <w:rtl w:val="0"/>
        </w:rPr>
        <w:t xml:space="preserve">Branding</w:t>
      </w:r>
    </w:p>
    <w:p w:rsidR="00000000" w:rsidDel="00000000" w:rsidP="00000000" w:rsidRDefault="00000000" w:rsidRPr="00000000" w14:paraId="00000015">
      <w:pPr>
        <w:rPr/>
      </w:pPr>
      <w:r w:rsidDel="00000000" w:rsidR="00000000" w:rsidRPr="00000000">
        <w:rPr>
          <w:rtl w:val="0"/>
        </w:rPr>
        <w:t xml:space="preserve">ClearMethodIQ = calm, classroom-friendly clarity tools.</w:t>
        <w:br w:type="textWrapping"/>
        <w:t xml:space="preserve">IdiotMethod = bold clarity framework adapted for learning.</w:t>
        <w:br w:type="textWrapping"/>
        <w:t xml:space="preserve">Same system, different tone.</w:t>
      </w:r>
    </w:p>
    <w:p w:rsidR="00000000" w:rsidDel="00000000" w:rsidP="00000000" w:rsidRDefault="00000000" w:rsidRPr="00000000" w14:paraId="00000016">
      <w:pPr>
        <w:pStyle w:val="Heading2"/>
        <w:rPr/>
      </w:pPr>
      <w:r w:rsidDel="00000000" w:rsidR="00000000" w:rsidRPr="00000000">
        <w:rPr>
          <w:rtl w:val="0"/>
        </w:rPr>
        <w:t xml:space="preserve">GENIUS Tagline</w:t>
      </w:r>
    </w:p>
    <w:p w:rsidR="00000000" w:rsidDel="00000000" w:rsidP="00000000" w:rsidRDefault="00000000" w:rsidRPr="00000000" w14:paraId="00000017">
      <w:pPr>
        <w:rPr/>
      </w:pPr>
      <w:r w:rsidDel="00000000" w:rsidR="00000000" w:rsidRPr="00000000">
        <w:rPr>
          <w:rtl w:val="0"/>
        </w:rPr>
        <w:t xml:space="preserve">Find the GENIUS method for learning anything at:</w:t>
        <w:br w:type="textWrapping"/>
        <w:t xml:space="preserve">www.clearmethodiq.com</w:t>
        <w:br w:type="textWrapping"/>
        <w:t xml:space="preserve">www.idiotmethod.com</w:t>
      </w:r>
    </w:p>
    <w:p w:rsidR="00000000" w:rsidDel="00000000" w:rsidP="00000000" w:rsidRDefault="00000000" w:rsidRPr="00000000" w14:paraId="00000018">
      <w:pPr>
        <w:pStyle w:val="Heading2"/>
        <w:rPr/>
      </w:pPr>
      <w:r w:rsidDel="00000000" w:rsidR="00000000" w:rsidRPr="00000000">
        <w:rPr>
          <w:rtl w:val="0"/>
        </w:rPr>
        <w:t xml:space="preserve">Research Behind This Tool</w:t>
      </w:r>
    </w:p>
    <w:p w:rsidR="00000000" w:rsidDel="00000000" w:rsidP="00000000" w:rsidRDefault="00000000" w:rsidRPr="00000000" w14:paraId="00000019">
      <w:pPr>
        <w:rPr/>
      </w:pPr>
      <w:r w:rsidDel="00000000" w:rsidR="00000000" w:rsidRPr="00000000">
        <w:rPr>
          <w:rtl w:val="0"/>
        </w:rPr>
        <w:t xml:space="preserve">Research shows that metacognitive awareness improves confidence, problem-solving, and learning.</w:t>
        <w:br w:type="textWrapping"/>
        <w:br w:type="textWrapping"/>
        <w:t xml:space="preserve">Ask ChatGPT:</w:t>
        <w:br w:type="textWrapping"/>
        <w:t xml:space="preserve">“Provide research showing how recognizing blind spots improves learning outcomes.”</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POU7qiMwklcrwr7RwHcvjM5jpA==">CgMxLjA4AHIhMU5TeEJlaEl0SEktSzJYVHNkQ3Vydkc3X1FnWVlwMWtK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