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36"/>
          <w:szCs w:val="36"/>
        </w:rPr>
      </w:pPr>
      <w:r w:rsidDel="00000000" w:rsidR="00000000" w:rsidRPr="00000000">
        <w:rPr>
          <w:sz w:val="36"/>
          <w:szCs w:val="36"/>
          <w:rtl w:val="0"/>
        </w:rPr>
        <w:t xml:space="preserve">Instructions – Tool #15: Blind Spot Detector (Ages 13–17)</w:t>
        <w:br w:type="textWrapping"/>
        <w:t xml:space="preserve">ClearMethodIQ</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Valued Teacher,</w:t>
        <w:br w:type="textWrapping"/>
        <w:br w:type="textWrapping"/>
        <w:t xml:space="preserve">Tool #15 — Blind Spot Detector (Ages 13–17) helps teens develop awareness of what they know, what they know they don’t know, and what they may not yet realize they are missing. This tool builds intellectual humility, curiosity, and confidence when facing uncertainty.</w:t>
      </w:r>
    </w:p>
    <w:p w:rsidR="00000000" w:rsidDel="00000000" w:rsidP="00000000" w:rsidRDefault="00000000" w:rsidRPr="00000000" w14:paraId="00000004">
      <w:pPr>
        <w:pStyle w:val="Heading2"/>
        <w:rPr/>
      </w:pPr>
      <w:r w:rsidDel="00000000" w:rsidR="00000000" w:rsidRPr="00000000">
        <w:rPr>
          <w:rtl w:val="0"/>
        </w:rPr>
        <w:t xml:space="preserve">A. What This Tool Is</w:t>
      </w:r>
    </w:p>
    <w:p w:rsidR="00000000" w:rsidDel="00000000" w:rsidP="00000000" w:rsidRDefault="00000000" w:rsidRPr="00000000" w14:paraId="00000005">
      <w:pPr>
        <w:rPr/>
      </w:pPr>
      <w:r w:rsidDel="00000000" w:rsidR="00000000" w:rsidRPr="00000000">
        <w:rPr>
          <w:rtl w:val="0"/>
        </w:rPr>
        <w:t xml:space="preserve">Tool 15 guides students through four categories of knowledge:</w:t>
        <w:br w:type="textWrapping"/>
        <w:t xml:space="preserve">1. Things I Know</w:t>
        <w:br w:type="textWrapping"/>
        <w:t xml:space="preserve">2. Things I Know I Don’t Know</w:t>
        <w:br w:type="textWrapping"/>
        <w:t xml:space="preserve">3. Things I Don’t Know I Don’t Know</w:t>
        <w:br w:type="textWrapping"/>
        <w:t xml:space="preserve">4. Things I Learned Without Realizing</w:t>
        <w:br w:type="textWrapping"/>
        <w:br w:type="textWrapping"/>
        <w:t xml:space="preserve">This structure helps teens begin identifying blind spots that affect learning and decisions.</w:t>
      </w:r>
    </w:p>
    <w:p w:rsidR="00000000" w:rsidDel="00000000" w:rsidP="00000000" w:rsidRDefault="00000000" w:rsidRPr="00000000" w14:paraId="00000006">
      <w:pPr>
        <w:pStyle w:val="Heading2"/>
        <w:rPr/>
      </w:pPr>
      <w:r w:rsidDel="00000000" w:rsidR="00000000" w:rsidRPr="00000000">
        <w:rPr>
          <w:rtl w:val="0"/>
        </w:rPr>
        <w:t xml:space="preserve">B. Purpose of the Tool</w:t>
      </w:r>
    </w:p>
    <w:p w:rsidR="00000000" w:rsidDel="00000000" w:rsidP="00000000" w:rsidRDefault="00000000" w:rsidRPr="00000000" w14:paraId="00000007">
      <w:pPr>
        <w:rPr/>
      </w:pPr>
      <w:r w:rsidDel="00000000" w:rsidR="00000000" w:rsidRPr="00000000">
        <w:rPr>
          <w:rtl w:val="0"/>
        </w:rPr>
        <w:t xml:space="preserve">This tool helps learners:</w:t>
        <w:br w:type="textWrapping"/>
        <w:t xml:space="preserve">- Become comfortable with uncertainty</w:t>
        <w:br w:type="textWrapping"/>
        <w:t xml:space="preserve">- Recognize that not knowing is part of growth</w:t>
        <w:br w:type="textWrapping"/>
        <w:t xml:space="preserve">- Identify hidden gaps in understanding</w:t>
        <w:br w:type="textWrapping"/>
        <w:t xml:space="preserve">- Build curiosity and calm thinking</w:t>
        <w:br w:type="textWrapping"/>
        <w:br w:type="textWrapping"/>
        <w:t xml:space="preserve">Great breakthroughs begin by facing the unknown.</w:t>
      </w:r>
    </w:p>
    <w:p w:rsidR="00000000" w:rsidDel="00000000" w:rsidP="00000000" w:rsidRDefault="00000000" w:rsidRPr="00000000" w14:paraId="00000008">
      <w:pPr>
        <w:pStyle w:val="Heading2"/>
        <w:rPr/>
      </w:pPr>
      <w:r w:rsidDel="00000000" w:rsidR="00000000" w:rsidRPr="00000000">
        <w:rPr>
          <w:rtl w:val="0"/>
        </w:rPr>
        <w:t xml:space="preserve">C. The Golden Rule / Most Important Tip</w:t>
      </w:r>
    </w:p>
    <w:p w:rsidR="00000000" w:rsidDel="00000000" w:rsidP="00000000" w:rsidRDefault="00000000" w:rsidRPr="00000000" w14:paraId="00000009">
      <w:pPr>
        <w:rPr/>
      </w:pPr>
      <w:r w:rsidDel="00000000" w:rsidR="00000000" w:rsidRPr="00000000">
        <w:rPr>
          <w:rtl w:val="0"/>
        </w:rPr>
        <w:t xml:space="preserve">“The unknown is not a threat — it is a path.”</w:t>
        <w:br w:type="textWrapping"/>
        <w:br w:type="textWrapping"/>
        <w:t xml:space="preserve">Students should feel no pressure to rush or perform. Honest reflection matters more than having answers.</w:t>
      </w:r>
    </w:p>
    <w:p w:rsidR="00000000" w:rsidDel="00000000" w:rsidP="00000000" w:rsidRDefault="00000000" w:rsidRPr="00000000" w14:paraId="0000000A">
      <w:pPr>
        <w:pStyle w:val="Heading2"/>
        <w:rPr/>
      </w:pPr>
      <w:r w:rsidDel="00000000" w:rsidR="00000000" w:rsidRPr="00000000">
        <w:rPr>
          <w:rtl w:val="0"/>
        </w:rPr>
        <w:t xml:space="preserve">D. Starting the Conversation</w:t>
      </w:r>
    </w:p>
    <w:p w:rsidR="00000000" w:rsidDel="00000000" w:rsidP="00000000" w:rsidRDefault="00000000" w:rsidRPr="00000000" w14:paraId="0000000B">
      <w:pPr>
        <w:rPr/>
      </w:pPr>
      <w:r w:rsidDel="00000000" w:rsidR="00000000" w:rsidRPr="00000000">
        <w:rPr>
          <w:rtl w:val="0"/>
        </w:rPr>
        <w:t xml:space="preserve">You may begin by saying:</w:t>
        <w:br w:type="textWrapping"/>
        <w:t xml:space="preserve">“Everyone has blind spots — even experts.”</w:t>
        <w:br w:type="textWrapping"/>
        <w:t xml:space="preserve">“Today we’re exploring uncertainty without judgment.”</w:t>
        <w:br w:type="textWrapping"/>
        <w:t xml:space="preserve">“Not knowing is how real learning starts.”</w:t>
        <w:br w:type="textWrapping"/>
        <w:br w:type="textWrapping"/>
        <w:t xml:space="preserve">Teachers are encouraged to model a personal example first.</w:t>
      </w:r>
    </w:p>
    <w:p w:rsidR="00000000" w:rsidDel="00000000" w:rsidP="00000000" w:rsidRDefault="00000000" w:rsidRPr="00000000" w14:paraId="0000000C">
      <w:pPr>
        <w:pStyle w:val="Heading2"/>
        <w:rPr/>
      </w:pPr>
      <w:r w:rsidDel="00000000" w:rsidR="00000000" w:rsidRPr="00000000">
        <w:rPr>
          <w:rtl w:val="0"/>
        </w:rPr>
        <w:t xml:space="preserve">E. Choosing a Topic / When to Use</w:t>
      </w:r>
    </w:p>
    <w:p w:rsidR="00000000" w:rsidDel="00000000" w:rsidP="00000000" w:rsidRDefault="00000000" w:rsidRPr="00000000" w14:paraId="0000000D">
      <w:pPr>
        <w:rPr/>
      </w:pPr>
      <w:r w:rsidDel="00000000" w:rsidR="00000000" w:rsidRPr="00000000">
        <w:rPr>
          <w:rtl w:val="0"/>
        </w:rPr>
        <w:t xml:space="preserve">Use Tool 15:</w:t>
        <w:br w:type="textWrapping"/>
        <w:t xml:space="preserve">- At the start of a semester or unit</w:t>
        <w:br w:type="textWrapping"/>
        <w:t xml:space="preserve">- Before major projects</w:t>
        <w:br w:type="textWrapping"/>
        <w:t xml:space="preserve">- After mistakes or misunderstandings</w:t>
        <w:br w:type="textWrapping"/>
        <w:t xml:space="preserve">- During reflection or mentoring sessions</w:t>
        <w:br w:type="textWrapping"/>
        <w:br w:type="textWrapping"/>
        <w:t xml:space="preserve">This tool works best when honesty is normalized.</w:t>
      </w:r>
    </w:p>
    <w:p w:rsidR="00000000" w:rsidDel="00000000" w:rsidP="00000000" w:rsidRDefault="00000000" w:rsidRPr="00000000" w14:paraId="0000000E">
      <w:pPr>
        <w:pStyle w:val="Heading2"/>
        <w:rPr/>
      </w:pPr>
      <w:r w:rsidDel="00000000" w:rsidR="00000000" w:rsidRPr="00000000">
        <w:rPr>
          <w:rtl w:val="0"/>
        </w:rPr>
        <w:t xml:space="preserve">F. What Happens Next</w:t>
      </w:r>
    </w:p>
    <w:p w:rsidR="00000000" w:rsidDel="00000000" w:rsidP="00000000" w:rsidRDefault="00000000" w:rsidRPr="00000000" w14:paraId="0000000F">
      <w:pPr>
        <w:rPr/>
      </w:pPr>
      <w:r w:rsidDel="00000000" w:rsidR="00000000" w:rsidRPr="00000000">
        <w:rPr>
          <w:rtl w:val="0"/>
        </w:rPr>
        <w:t xml:space="preserve">After completing the worksheet, students:</w:t>
        <w:br w:type="textWrapping"/>
        <w:t xml:space="preserve">- See gaps clearly</w:t>
        <w:br w:type="textWrapping"/>
        <w:t xml:space="preserve">- Gain confidence around uncertainty</w:t>
        <w:br w:type="textWrapping"/>
        <w:t xml:space="preserve">- Identify new learning paths</w:t>
        <w:br w:type="textWrapping"/>
        <w:br w:type="textWrapping"/>
        <w:t xml:space="preserve">Teachers can adjust instruction based on patterns.</w:t>
      </w:r>
    </w:p>
    <w:p w:rsidR="00000000" w:rsidDel="00000000" w:rsidP="00000000" w:rsidRDefault="00000000" w:rsidRPr="00000000" w14:paraId="00000010">
      <w:pPr>
        <w:pStyle w:val="Heading2"/>
        <w:rPr/>
      </w:pPr>
      <w:r w:rsidDel="00000000" w:rsidR="00000000" w:rsidRPr="00000000">
        <w:rPr>
          <w:rtl w:val="0"/>
        </w:rPr>
        <w:t xml:space="preserve">G. Let Their Thinking Branch Out</w:t>
      </w:r>
    </w:p>
    <w:p w:rsidR="00000000" w:rsidDel="00000000" w:rsidP="00000000" w:rsidRDefault="00000000" w:rsidRPr="00000000" w14:paraId="00000011">
      <w:pPr>
        <w:rPr/>
      </w:pPr>
      <w:r w:rsidDel="00000000" w:rsidR="00000000" w:rsidRPr="00000000">
        <w:rPr>
          <w:rtl w:val="0"/>
        </w:rPr>
        <w:t xml:space="preserve">Ask:</w:t>
        <w:br w:type="textWrapping"/>
        <w:t xml:space="preserve">“Which blind spot surprised you?”</w:t>
        <w:br w:type="textWrapping"/>
        <w:t xml:space="preserve">“What would you like to explore next?”</w:t>
        <w:br w:type="textWrapping"/>
        <w:t xml:space="preserve">“How does this connect to other tools?”</w:t>
        <w:br w:type="textWrapping"/>
        <w:br w:type="textWrapping"/>
        <w:t xml:space="preserve">This links naturally to Tools 1–4, 11, and 12.</w:t>
      </w:r>
    </w:p>
    <w:p w:rsidR="00000000" w:rsidDel="00000000" w:rsidP="00000000" w:rsidRDefault="00000000" w:rsidRPr="00000000" w14:paraId="00000012">
      <w:pPr>
        <w:pStyle w:val="Heading2"/>
        <w:rPr/>
      </w:pPr>
      <w:r w:rsidDel="00000000" w:rsidR="00000000" w:rsidRPr="00000000">
        <w:rPr>
          <w:rtl w:val="0"/>
        </w:rPr>
        <w:t xml:space="preserve">H. Notes &amp; Guidance for Teachers</w:t>
      </w:r>
    </w:p>
    <w:p w:rsidR="00000000" w:rsidDel="00000000" w:rsidP="00000000" w:rsidRDefault="00000000" w:rsidRPr="00000000" w14:paraId="00000013">
      <w:pPr>
        <w:rPr/>
      </w:pPr>
      <w:r w:rsidDel="00000000" w:rsidR="00000000" w:rsidRPr="00000000">
        <w:rPr>
          <w:rtl w:val="0"/>
        </w:rPr>
        <w:t xml:space="preserve">Praise honesty.</w:t>
        <w:br w:type="textWrapping"/>
        <w:t xml:space="preserve">Avoid correcting or judging.</w:t>
        <w:br w:type="textWrapping"/>
        <w:t xml:space="preserve">Encourage slow, reflective thinking.</w:t>
        <w:br w:type="textWrapping"/>
        <w:t xml:space="preserve">Reinforce that blind spots appear at every level of expertise.</w:t>
      </w:r>
    </w:p>
    <w:p w:rsidR="00000000" w:rsidDel="00000000" w:rsidP="00000000" w:rsidRDefault="00000000" w:rsidRPr="00000000" w14:paraId="00000014">
      <w:pPr>
        <w:pStyle w:val="Heading2"/>
        <w:rPr/>
      </w:pPr>
      <w:r w:rsidDel="00000000" w:rsidR="00000000" w:rsidRPr="00000000">
        <w:rPr>
          <w:rtl w:val="0"/>
        </w:rPr>
        <w:t xml:space="preserve">Branding</w:t>
      </w:r>
    </w:p>
    <w:p w:rsidR="00000000" w:rsidDel="00000000" w:rsidP="00000000" w:rsidRDefault="00000000" w:rsidRPr="00000000" w14:paraId="00000015">
      <w:pPr>
        <w:rPr/>
      </w:pPr>
      <w:r w:rsidDel="00000000" w:rsidR="00000000" w:rsidRPr="00000000">
        <w:rPr>
          <w:rtl w:val="0"/>
        </w:rPr>
        <w:t xml:space="preserve">ClearMethodIQ = student-friendly clarity system.</w:t>
        <w:br w:type="textWrapping"/>
        <w:t xml:space="preserve">IdiotMethod = bold clarity framework adapted for teens.</w:t>
        <w:br w:type="textWrapping"/>
        <w:t xml:space="preserve">Same system, different tone.</w:t>
      </w:r>
    </w:p>
    <w:p w:rsidR="00000000" w:rsidDel="00000000" w:rsidP="00000000" w:rsidRDefault="00000000" w:rsidRPr="00000000" w14:paraId="00000016">
      <w:pPr>
        <w:pStyle w:val="Heading2"/>
        <w:rPr/>
      </w:pPr>
      <w:r w:rsidDel="00000000" w:rsidR="00000000" w:rsidRPr="00000000">
        <w:rPr>
          <w:rtl w:val="0"/>
        </w:rPr>
        <w:t xml:space="preserve">GENIUS Tagline</w:t>
      </w:r>
    </w:p>
    <w:p w:rsidR="00000000" w:rsidDel="00000000" w:rsidP="00000000" w:rsidRDefault="00000000" w:rsidRPr="00000000" w14:paraId="00000017">
      <w:pPr>
        <w:rPr/>
      </w:pPr>
      <w:r w:rsidDel="00000000" w:rsidR="00000000" w:rsidRPr="00000000">
        <w:rPr>
          <w:rtl w:val="0"/>
        </w:rPr>
        <w:t xml:space="preserve">Find the GENIUS method for learning anything at:</w:t>
        <w:br w:type="textWrapping"/>
        <w:t xml:space="preserve">www.clearmethodiq.com</w:t>
        <w:br w:type="textWrapping"/>
        <w:t xml:space="preserve">www.idiotmethod.com</w:t>
      </w:r>
    </w:p>
    <w:p w:rsidR="00000000" w:rsidDel="00000000" w:rsidP="00000000" w:rsidRDefault="00000000" w:rsidRPr="00000000" w14:paraId="00000018">
      <w:pPr>
        <w:pStyle w:val="Heading2"/>
        <w:rPr/>
      </w:pPr>
      <w:r w:rsidDel="00000000" w:rsidR="00000000" w:rsidRPr="00000000">
        <w:rPr>
          <w:rtl w:val="0"/>
        </w:rPr>
        <w:t xml:space="preserve">Research Behind This Tool</w:t>
      </w:r>
    </w:p>
    <w:p w:rsidR="00000000" w:rsidDel="00000000" w:rsidP="00000000" w:rsidRDefault="00000000" w:rsidRPr="00000000" w14:paraId="00000019">
      <w:pPr>
        <w:rPr/>
      </w:pPr>
      <w:r w:rsidDel="00000000" w:rsidR="00000000" w:rsidRPr="00000000">
        <w:rPr>
          <w:rtl w:val="0"/>
        </w:rPr>
        <w:t xml:space="preserve">Research shows that metacognitive awareness and uncertainty tolerance improve:</w:t>
        <w:br w:type="textWrapping"/>
        <w:t xml:space="preserve">- Decision-making</w:t>
        <w:br w:type="textWrapping"/>
        <w:t xml:space="preserve">- Problem-solving</w:t>
        <w:br w:type="textWrapping"/>
        <w:t xml:space="preserve">- Learning outcomes</w:t>
        <w:br w:type="textWrapping"/>
        <w:br w:type="textWrapping"/>
        <w:t xml:space="preserve">Ask ChatGPT:</w:t>
        <w:br w:type="textWrapping"/>
        <w:t xml:space="preserve">“Provide research showing how recognizing blind spots improves learning and thinking.”</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TouX+ZUpE0n7BVkQPR7rkNjwpw==">CgMxLjA4AHIhMU12WXBoRWpTVlJMeEVOdzUtRjhkWVRwZGVfZU1RRGlS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