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480" w:line="276" w:lineRule="auto"/>
        <w:rPr>
          <w:rFonts w:ascii="Cambria" w:cs="Cambria" w:eastAsia="Cambria" w:hAnsi="Cambria"/>
          <w:b w:val="1"/>
          <w:bCs w:val="1"/>
          <w:color w:val="4f81bd"/>
          <w:sz w:val="30"/>
          <w:szCs w:val="30"/>
        </w:rPr>
      </w:pPr>
      <w:bookmarkStart w:colFirst="0" w:colLast="0" w:name="_11b532l39zzg" w:id="0"/>
      <w:bookmarkEnd w:id="0"/>
      <w:r w:rsidDel="00000000" w:rsidR="00000000" w:rsidRPr="00000000">
        <w:rPr>
          <w:rFonts w:ascii="Cambria" w:cs="Cambria" w:eastAsia="Cambria" w:hAnsi="Cambria"/>
          <w:b w:val="1"/>
          <w:bCs w:val="1"/>
          <w:color w:val="4f81bd"/>
          <w:sz w:val="30"/>
          <w:szCs w:val="30"/>
          <w:rtl w:val="0"/>
        </w:rPr>
        <w:t xml:space="preserve">Instructions – Book of Understanding #1 (Ages 13–17) – ClearMethodIQ</w:t>
      </w:r>
    </w:p>
    <w:p w:rsidR="00000000" w:rsidDel="00000000" w:rsidP="00000000" w:rsidRDefault="00000000" w:rsidRPr="00000000" w14:paraId="00000002">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Hello Valued Teacher,</w:t>
      </w:r>
    </w:p>
    <w:p w:rsidR="00000000" w:rsidDel="00000000" w:rsidP="00000000" w:rsidRDefault="00000000" w:rsidRPr="00000000" w14:paraId="00000003">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Thank you for guiding your teens through the ClearMethodIQ journey. Book of Understanding #1 is one of the simplest—yet most transformative—tools in the I.D.I.O.T. Method. It teaches students ages 13–17 to slow down, notice their confusion without shame, and turn that confusion into clarity.</w:t>
      </w:r>
    </w:p>
    <w:p w:rsidR="00000000" w:rsidDel="00000000" w:rsidP="00000000" w:rsidRDefault="00000000" w:rsidRPr="00000000" w14:paraId="00000004">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As adolescents grow more self‑aware, they often hide confusion because they fear looking “behind.” This tool gently breaks that cycle. It helps them practice the “C” in the ClearMethod: **Catch your confusion without shame**. By writing down everything they do not understand about a topic, students begin the process of organizing their thinking and building real understanding.</w:t>
      </w:r>
    </w:p>
    <w:p w:rsidR="00000000" w:rsidDel="00000000" w:rsidP="00000000" w:rsidRDefault="00000000" w:rsidRPr="00000000" w14:paraId="00000005">
      <w:pPr>
        <w:pStyle w:val="Heading2"/>
        <w:spacing w:after="80" w:line="276" w:lineRule="auto"/>
        <w:rPr>
          <w:rFonts w:ascii="Cambria" w:cs="Cambria" w:eastAsia="Cambria" w:hAnsi="Cambria"/>
          <w:b w:val="1"/>
          <w:bCs w:val="1"/>
          <w:color w:val="4f81bd"/>
          <w:sz w:val="30"/>
          <w:szCs w:val="30"/>
        </w:rPr>
      </w:pPr>
      <w:bookmarkStart w:colFirst="0" w:colLast="0" w:name="_jvyp14jblign" w:id="2"/>
      <w:bookmarkEnd w:id="2"/>
      <w:r w:rsidDel="00000000" w:rsidR="00000000" w:rsidRPr="00000000">
        <w:rPr>
          <w:rFonts w:ascii="Cambria" w:cs="Cambria" w:eastAsia="Cambria" w:hAnsi="Cambria"/>
          <w:b w:val="1"/>
          <w:bCs w:val="1"/>
          <w:color w:val="4f81bd"/>
          <w:sz w:val="30"/>
          <w:szCs w:val="30"/>
          <w:rtl w:val="0"/>
        </w:rPr>
        <w:t xml:space="preserve">A. What It Is</w:t>
      </w:r>
    </w:p>
    <w:p w:rsidR="00000000" w:rsidDel="00000000" w:rsidP="00000000" w:rsidRDefault="00000000" w:rsidRPr="00000000" w14:paraId="00000006">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This tool is a simple reflection exercise. You may choose a topic for your class, or allow students to choose individually. Once a topic is set, students write down *every single thing* that confuses them about it openly, honestly, and without worrying about grammar or correctness.</w:t>
      </w:r>
    </w:p>
    <w:p w:rsidR="00000000" w:rsidDel="00000000" w:rsidP="00000000" w:rsidRDefault="00000000" w:rsidRPr="00000000" w14:paraId="00000007">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They may write in paragraphs, lists, sketches, or connected ideas. The tool is available as both a printable worksheet and a Google Form.</w:t>
      </w:r>
    </w:p>
    <w:p w:rsidR="00000000" w:rsidDel="00000000" w:rsidP="00000000" w:rsidRDefault="00000000" w:rsidRPr="00000000" w14:paraId="00000008">
      <w:pPr>
        <w:pStyle w:val="Heading2"/>
        <w:spacing w:after="80" w:line="276" w:lineRule="auto"/>
        <w:rPr>
          <w:rFonts w:ascii="Cambria" w:cs="Cambria" w:eastAsia="Cambria" w:hAnsi="Cambria"/>
          <w:b w:val="1"/>
          <w:bCs w:val="1"/>
          <w:color w:val="4f81bd"/>
          <w:sz w:val="30"/>
          <w:szCs w:val="30"/>
        </w:rPr>
      </w:pPr>
      <w:bookmarkStart w:colFirst="0" w:colLast="0" w:name="_4vegi7gwpcs9" w:id="3"/>
      <w:bookmarkEnd w:id="3"/>
      <w:r w:rsidDel="00000000" w:rsidR="00000000" w:rsidRPr="00000000">
        <w:rPr>
          <w:rFonts w:ascii="Cambria" w:cs="Cambria" w:eastAsia="Cambria" w:hAnsi="Cambria"/>
          <w:b w:val="1"/>
          <w:bCs w:val="1"/>
          <w:color w:val="4f81bd"/>
          <w:sz w:val="30"/>
          <w:szCs w:val="30"/>
          <w:rtl w:val="0"/>
        </w:rPr>
        <w:t xml:space="preserve">B. The Golden Rule — Be Completely Honest</w:t>
      </w:r>
    </w:p>
    <w:p w:rsidR="00000000" w:rsidDel="00000000" w:rsidP="00000000" w:rsidRDefault="00000000" w:rsidRPr="00000000" w14:paraId="00000009">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Teens often want to appear confident, even when confused. Gently remind them: </w:t>
      </w:r>
    </w:p>
    <w:p w:rsidR="00000000" w:rsidDel="00000000" w:rsidP="00000000" w:rsidRDefault="00000000" w:rsidRPr="00000000" w14:paraId="0000000A">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**This is not a test. There are no wrong answers.** </w:t>
      </w:r>
    </w:p>
    <w:p w:rsidR="00000000" w:rsidDel="00000000" w:rsidP="00000000" w:rsidRDefault="00000000" w:rsidRPr="00000000" w14:paraId="0000000B">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The goal is to express confusion fully, without holding back. The more honest they are, the more powerful the tool becomes.</w:t>
      </w:r>
    </w:p>
    <w:p w:rsidR="00000000" w:rsidDel="00000000" w:rsidP="00000000" w:rsidRDefault="00000000" w:rsidRPr="00000000" w14:paraId="0000000C">
      <w:pPr>
        <w:pStyle w:val="Heading2"/>
        <w:spacing w:after="80" w:line="276" w:lineRule="auto"/>
        <w:rPr>
          <w:rFonts w:ascii="Cambria" w:cs="Cambria" w:eastAsia="Cambria" w:hAnsi="Cambria"/>
          <w:b w:val="1"/>
          <w:bCs w:val="1"/>
          <w:color w:val="4f81bd"/>
          <w:sz w:val="30"/>
          <w:szCs w:val="30"/>
        </w:rPr>
      </w:pPr>
      <w:bookmarkStart w:colFirst="0" w:colLast="0" w:name="_ubvwywh2xrsh" w:id="4"/>
      <w:bookmarkEnd w:id="4"/>
      <w:r w:rsidDel="00000000" w:rsidR="00000000" w:rsidRPr="00000000">
        <w:rPr>
          <w:rFonts w:ascii="Cambria" w:cs="Cambria" w:eastAsia="Cambria" w:hAnsi="Cambria"/>
          <w:b w:val="1"/>
          <w:bCs w:val="1"/>
          <w:color w:val="4f81bd"/>
          <w:sz w:val="30"/>
          <w:szCs w:val="30"/>
          <w:rtl w:val="0"/>
        </w:rPr>
        <w:t xml:space="preserve">C. Why It Matters</w:t>
      </w:r>
    </w:p>
    <w:p w:rsidR="00000000" w:rsidDel="00000000" w:rsidP="00000000" w:rsidRDefault="00000000" w:rsidRPr="00000000" w14:paraId="0000000D">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Research consistently shows that teens who identify their confusion learn faster and retain more.</w:t>
      </w:r>
    </w:p>
    <w:p w:rsidR="00000000" w:rsidDel="00000000" w:rsidP="00000000" w:rsidRDefault="00000000" w:rsidRPr="00000000" w14:paraId="0000000E">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Writing down confusion is like clearing mental clutter. It helps students:</w:t>
      </w:r>
    </w:p>
    <w:p w:rsidR="00000000" w:rsidDel="00000000" w:rsidP="00000000" w:rsidRDefault="00000000" w:rsidRPr="00000000" w14:paraId="0000000F">
      <w:pPr>
        <w:pStyle w:val="Heading2"/>
        <w:numPr>
          <w:ilvl w:val="0"/>
          <w:numId w:val="1"/>
        </w:numPr>
        <w:spacing w:after="0" w:afterAutospacing="0" w:before="24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notice what they don’t understand </w:t>
      </w:r>
    </w:p>
    <w:p w:rsidR="00000000" w:rsidDel="00000000" w:rsidP="00000000" w:rsidRDefault="00000000" w:rsidRPr="00000000" w14:paraId="00000010">
      <w:pPr>
        <w:pStyle w:val="Heading2"/>
        <w:numPr>
          <w:ilvl w:val="0"/>
          <w:numId w:val="1"/>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make new connections </w:t>
      </w:r>
    </w:p>
    <w:p w:rsidR="00000000" w:rsidDel="00000000" w:rsidP="00000000" w:rsidRDefault="00000000" w:rsidRPr="00000000" w14:paraId="00000011">
      <w:pPr>
        <w:pStyle w:val="Heading2"/>
        <w:numPr>
          <w:ilvl w:val="0"/>
          <w:numId w:val="1"/>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separate fact from assumption </w:t>
      </w:r>
    </w:p>
    <w:p w:rsidR="00000000" w:rsidDel="00000000" w:rsidP="00000000" w:rsidRDefault="00000000" w:rsidRPr="00000000" w14:paraId="00000012">
      <w:pPr>
        <w:pStyle w:val="Heading2"/>
        <w:numPr>
          <w:ilvl w:val="0"/>
          <w:numId w:val="1"/>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prepare their minds for deeper learning </w:t>
      </w:r>
    </w:p>
    <w:p w:rsidR="00000000" w:rsidDel="00000000" w:rsidP="00000000" w:rsidRDefault="00000000" w:rsidRPr="00000000" w14:paraId="00000013">
      <w:pPr>
        <w:pStyle w:val="Heading2"/>
        <w:numPr>
          <w:ilvl w:val="0"/>
          <w:numId w:val="1"/>
        </w:numPr>
        <w:spacing w:after="24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When students express their confusion, they are already beginning to build clarity.</w:t>
      </w:r>
    </w:p>
    <w:p w:rsidR="00000000" w:rsidDel="00000000" w:rsidP="00000000" w:rsidRDefault="00000000" w:rsidRPr="00000000" w14:paraId="00000014">
      <w:pPr>
        <w:pStyle w:val="Heading2"/>
        <w:spacing w:after="240" w:before="240" w:line="276" w:lineRule="auto"/>
        <w:rPr>
          <w:rFonts w:ascii="Cambria" w:cs="Cambria" w:eastAsia="Cambria" w:hAnsi="Cambria"/>
          <w:b w:val="1"/>
          <w:bCs w:val="1"/>
          <w:color w:val="4f81bd"/>
          <w:sz w:val="30"/>
          <w:szCs w:val="30"/>
        </w:rPr>
      </w:pPr>
      <w:bookmarkStart w:colFirst="0" w:colLast="0" w:name="_g4hhhcon8a5i" w:id="1"/>
      <w:bookmarkEnd w:id="1"/>
      <w:r w:rsidDel="00000000" w:rsidR="00000000" w:rsidRPr="00000000">
        <w:rPr>
          <w:rFonts w:ascii="Cambria" w:cs="Cambria" w:eastAsia="Cambria" w:hAnsi="Cambria"/>
          <w:b w:val="1"/>
          <w:bCs w:val="1"/>
          <w:color w:val="4f81bd"/>
          <w:sz w:val="30"/>
          <w:szCs w:val="30"/>
          <w:rtl w:val="0"/>
        </w:rPr>
        <w:t xml:space="preserve">D. Starting the Conversation</w:t>
      </w:r>
    </w:p>
    <w:p w:rsidR="00000000" w:rsidDel="00000000" w:rsidP="00000000" w:rsidRDefault="00000000" w:rsidRPr="00000000" w14:paraId="00000015">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Before handing out the form, you can spark reflection with questions like:</w:t>
      </w:r>
    </w:p>
    <w:p w:rsidR="00000000" w:rsidDel="00000000" w:rsidP="00000000" w:rsidRDefault="00000000" w:rsidRPr="00000000" w14:paraId="00000016">
      <w:pPr>
        <w:pStyle w:val="Heading2"/>
        <w:numPr>
          <w:ilvl w:val="0"/>
          <w:numId w:val="2"/>
        </w:numPr>
        <w:spacing w:after="0" w:afterAutospacing="0" w:before="24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Why do teens sometimes hide confusion? </w:t>
      </w:r>
    </w:p>
    <w:p w:rsidR="00000000" w:rsidDel="00000000" w:rsidP="00000000" w:rsidRDefault="00000000" w:rsidRPr="00000000" w14:paraId="00000017">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How would learning change if confusion was seen as curiosity? </w:t>
      </w:r>
    </w:p>
    <w:p w:rsidR="00000000" w:rsidDel="00000000" w:rsidP="00000000" w:rsidRDefault="00000000" w:rsidRPr="00000000" w14:paraId="00000018">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What happens when we pretend to understand something we don’t?</w:t>
      </w:r>
    </w:p>
    <w:p w:rsidR="00000000" w:rsidDel="00000000" w:rsidP="00000000" w:rsidRDefault="00000000" w:rsidRPr="00000000" w14:paraId="00000019">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Optional Discussion Prompts:</w:t>
      </w:r>
    </w:p>
    <w:p w:rsidR="00000000" w:rsidDel="00000000" w:rsidP="00000000" w:rsidRDefault="00000000" w:rsidRPr="00000000" w14:paraId="0000001A">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Do you ever worry that admitting confusion makes you look “less smart”? </w:t>
      </w:r>
    </w:p>
    <w:p w:rsidR="00000000" w:rsidDel="00000000" w:rsidP="00000000" w:rsidRDefault="00000000" w:rsidRPr="00000000" w14:paraId="0000001B">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What helps you feel safe asking questions? </w:t>
      </w:r>
    </w:p>
    <w:p w:rsidR="00000000" w:rsidDel="00000000" w:rsidP="00000000" w:rsidRDefault="00000000" w:rsidRPr="00000000" w14:paraId="0000001C">
      <w:pPr>
        <w:pStyle w:val="Heading2"/>
        <w:numPr>
          <w:ilvl w:val="0"/>
          <w:numId w:val="2"/>
        </w:numPr>
        <w:spacing w:after="0" w:afterAutospacing="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How does it feel when someone explains something without judgment?</w:t>
      </w:r>
    </w:p>
    <w:p w:rsidR="00000000" w:rsidDel="00000000" w:rsidP="00000000" w:rsidRDefault="00000000" w:rsidRPr="00000000" w14:paraId="0000001D">
      <w:pPr>
        <w:pStyle w:val="Heading2"/>
        <w:numPr>
          <w:ilvl w:val="0"/>
          <w:numId w:val="2"/>
        </w:numPr>
        <w:spacing w:after="240" w:before="0" w:beforeAutospacing="0" w:line="276" w:lineRule="auto"/>
        <w:ind w:left="720" w:hanging="360"/>
        <w:rPr>
          <w:rFonts w:ascii="Cambria" w:cs="Cambria" w:eastAsia="Cambria" w:hAnsi="Cambria"/>
          <w:sz w:val="22"/>
          <w:szCs w:val="22"/>
          <w:u w:val="none"/>
        </w:rPr>
      </w:pPr>
      <w:bookmarkStart w:colFirst="0" w:colLast="0" w:name="_g4hhhcon8a5i" w:id="1"/>
      <w:bookmarkEnd w:id="1"/>
      <w:r w:rsidDel="00000000" w:rsidR="00000000" w:rsidRPr="00000000">
        <w:rPr>
          <w:rFonts w:ascii="Cambria" w:cs="Cambria" w:eastAsia="Cambria" w:hAnsi="Cambria"/>
          <w:sz w:val="22"/>
          <w:szCs w:val="22"/>
          <w:rtl w:val="0"/>
        </w:rPr>
        <w:t xml:space="preserve">These conversations help normalize confusion and reduce fear of embarrassment.</w:t>
      </w:r>
    </w:p>
    <w:p w:rsidR="00000000" w:rsidDel="00000000" w:rsidP="00000000" w:rsidRDefault="00000000" w:rsidRPr="00000000" w14:paraId="0000001E">
      <w:pPr>
        <w:pStyle w:val="Heading2"/>
        <w:spacing w:after="80" w:line="276" w:lineRule="auto"/>
        <w:rPr>
          <w:rFonts w:ascii="Cambria" w:cs="Cambria" w:eastAsia="Cambria" w:hAnsi="Cambria"/>
          <w:b w:val="1"/>
          <w:bCs w:val="1"/>
          <w:color w:val="4f81bd"/>
          <w:sz w:val="34"/>
          <w:szCs w:val="34"/>
        </w:rPr>
      </w:pPr>
      <w:bookmarkStart w:colFirst="0" w:colLast="0" w:name="_qtddgaowcag0" w:id="5"/>
      <w:bookmarkEnd w:id="5"/>
      <w:r w:rsidDel="00000000" w:rsidR="00000000" w:rsidRPr="00000000">
        <w:rPr>
          <w:rFonts w:ascii="Cambria" w:cs="Cambria" w:eastAsia="Cambria" w:hAnsi="Cambria"/>
          <w:b w:val="1"/>
          <w:bCs w:val="1"/>
          <w:color w:val="4f81bd"/>
          <w:sz w:val="34"/>
          <w:szCs w:val="34"/>
          <w:rtl w:val="0"/>
        </w:rPr>
        <w:t xml:space="preserve">E. Choosing a Topic</w:t>
      </w:r>
    </w:p>
    <w:p w:rsidR="00000000" w:rsidDel="00000000" w:rsidP="00000000" w:rsidRDefault="00000000" w:rsidRPr="00000000" w14:paraId="0000001F">
      <w:pPr>
        <w:pStyle w:val="Heading2"/>
        <w:spacing w:after="240" w:before="240" w:line="276" w:lineRule="auto"/>
        <w:rPr>
          <w:rFonts w:ascii="Cambria" w:cs="Cambria" w:eastAsia="Cambria" w:hAnsi="Cambria"/>
        </w:rPr>
      </w:pPr>
      <w:bookmarkStart w:colFirst="0" w:colLast="0" w:name="_g4hhhcon8a5i" w:id="1"/>
      <w:bookmarkEnd w:id="1"/>
      <w:r w:rsidDel="00000000" w:rsidR="00000000" w:rsidRPr="00000000">
        <w:rPr>
          <w:rFonts w:ascii="Cambria" w:cs="Cambria" w:eastAsia="Cambria" w:hAnsi="Cambria"/>
          <w:sz w:val="22"/>
          <w:szCs w:val="22"/>
          <w:rtl w:val="0"/>
        </w:rPr>
        <w:t xml:space="preserve">You may select the topic from your lesson, or let students pick something they genuinely want to understand. Teens engage more deeply when the topic feels relevant—e.g., “What makes social media addictive?” or “How does climate change actually work?”</w:t>
      </w:r>
      <w:r w:rsidDel="00000000" w:rsidR="00000000" w:rsidRPr="00000000">
        <w:rPr>
          <w:rtl w:val="0"/>
        </w:rPr>
      </w:r>
    </w:p>
    <w:p w:rsidR="00000000" w:rsidDel="00000000" w:rsidP="00000000" w:rsidRDefault="00000000" w:rsidRPr="00000000" w14:paraId="00000020">
      <w:pPr>
        <w:pStyle w:val="Heading2"/>
        <w:spacing w:after="80" w:line="276" w:lineRule="auto"/>
        <w:rPr>
          <w:rFonts w:ascii="Cambria" w:cs="Cambria" w:eastAsia="Cambria" w:hAnsi="Cambria"/>
          <w:b w:val="1"/>
          <w:bCs w:val="1"/>
          <w:color w:val="4f81bd"/>
          <w:sz w:val="30"/>
          <w:szCs w:val="30"/>
        </w:rPr>
      </w:pPr>
      <w:bookmarkStart w:colFirst="0" w:colLast="0" w:name="_tjmwemd3o465" w:id="6"/>
      <w:bookmarkEnd w:id="6"/>
      <w:r w:rsidDel="00000000" w:rsidR="00000000" w:rsidRPr="00000000">
        <w:rPr>
          <w:rFonts w:ascii="Cambria" w:cs="Cambria" w:eastAsia="Cambria" w:hAnsi="Cambria"/>
          <w:b w:val="1"/>
          <w:bCs w:val="1"/>
          <w:color w:val="4f81bd"/>
          <w:sz w:val="30"/>
          <w:szCs w:val="30"/>
          <w:rtl w:val="0"/>
        </w:rPr>
        <w:t xml:space="preserve">F. What Happens Next</w:t>
      </w:r>
    </w:p>
    <w:p w:rsidR="00000000" w:rsidDel="00000000" w:rsidP="00000000" w:rsidRDefault="00000000" w:rsidRPr="00000000" w14:paraId="00000021">
      <w:pPr>
        <w:pStyle w:val="Heading2"/>
        <w:spacing w:after="240" w:before="240" w:line="276" w:lineRule="auto"/>
        <w:rPr>
          <w:rFonts w:ascii="Cambria" w:cs="Cambria" w:eastAsia="Cambria" w:hAnsi="Cambria"/>
        </w:rPr>
      </w:pPr>
      <w:bookmarkStart w:colFirst="0" w:colLast="0" w:name="_g4hhhcon8a5i" w:id="1"/>
      <w:bookmarkEnd w:id="1"/>
      <w:r w:rsidDel="00000000" w:rsidR="00000000" w:rsidRPr="00000000">
        <w:rPr>
          <w:rFonts w:ascii="Cambria" w:cs="Cambria" w:eastAsia="Cambria" w:hAnsi="Cambria"/>
          <w:sz w:val="22"/>
          <w:szCs w:val="22"/>
          <w:rtl w:val="0"/>
        </w:rPr>
        <w:t xml:space="preserve">As students begin writing, they often discover new questions. Encourage this! A single question may branch into many more. This naturally prepares them for deeper tools like Tool #3 (Tree of Inquiry) or Tool #17 (Hardest Topic Exploration).</w:t>
      </w:r>
      <w:r w:rsidDel="00000000" w:rsidR="00000000" w:rsidRPr="00000000">
        <w:rPr>
          <w:rtl w:val="0"/>
        </w:rPr>
      </w:r>
    </w:p>
    <w:p w:rsidR="00000000" w:rsidDel="00000000" w:rsidP="00000000" w:rsidRDefault="00000000" w:rsidRPr="00000000" w14:paraId="00000022">
      <w:pPr>
        <w:pStyle w:val="Heading2"/>
        <w:spacing w:after="80" w:line="276" w:lineRule="auto"/>
        <w:rPr>
          <w:rFonts w:ascii="Cambria" w:cs="Cambria" w:eastAsia="Cambria" w:hAnsi="Cambria"/>
          <w:b w:val="1"/>
          <w:bCs w:val="1"/>
          <w:color w:val="4f81bd"/>
          <w:sz w:val="30"/>
          <w:szCs w:val="30"/>
        </w:rPr>
      </w:pPr>
      <w:bookmarkStart w:colFirst="0" w:colLast="0" w:name="_i71j4xm6e1k7" w:id="7"/>
      <w:bookmarkEnd w:id="7"/>
      <w:r w:rsidDel="00000000" w:rsidR="00000000" w:rsidRPr="00000000">
        <w:rPr>
          <w:rFonts w:ascii="Cambria" w:cs="Cambria" w:eastAsia="Cambria" w:hAnsi="Cambria"/>
          <w:b w:val="1"/>
          <w:bCs w:val="1"/>
          <w:color w:val="4f81bd"/>
          <w:sz w:val="30"/>
          <w:szCs w:val="30"/>
          <w:rtl w:val="0"/>
        </w:rPr>
        <w:t xml:space="preserve">G. Let Their Curiosity Expand</w:t>
      </w:r>
    </w:p>
    <w:p w:rsidR="00000000" w:rsidDel="00000000" w:rsidP="00000000" w:rsidRDefault="00000000" w:rsidRPr="00000000" w14:paraId="00000023">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Teens think visually and creatively. Encourage:</w:t>
      </w:r>
    </w:p>
    <w:p w:rsidR="00000000" w:rsidDel="00000000" w:rsidP="00000000" w:rsidRDefault="00000000" w:rsidRPr="00000000" w14:paraId="00000024">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arrows connecting ideas </w:t>
      </w:r>
    </w:p>
    <w:p w:rsidR="00000000" w:rsidDel="00000000" w:rsidP="00000000" w:rsidRDefault="00000000" w:rsidRPr="00000000" w14:paraId="00000025">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quick sketches </w:t>
      </w:r>
    </w:p>
    <w:p w:rsidR="00000000" w:rsidDel="00000000" w:rsidP="00000000" w:rsidRDefault="00000000" w:rsidRPr="00000000" w14:paraId="00000026">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bullet lists </w:t>
      </w:r>
    </w:p>
    <w:p w:rsidR="00000000" w:rsidDel="00000000" w:rsidP="00000000" w:rsidRDefault="00000000" w:rsidRPr="00000000" w14:paraId="00000027">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confusion maps </w:t>
      </w:r>
    </w:p>
    <w:p w:rsidR="00000000" w:rsidDel="00000000" w:rsidP="00000000" w:rsidRDefault="00000000" w:rsidRPr="00000000" w14:paraId="00000028">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long free‑writing </w:t>
      </w:r>
    </w:p>
    <w:p w:rsidR="00000000" w:rsidDel="00000000" w:rsidP="00000000" w:rsidRDefault="00000000" w:rsidRPr="00000000" w14:paraId="00000029">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The goal is expression, not neatness. Confusion doesn’t need to look pretty—just honest.</w:t>
      </w:r>
    </w:p>
    <w:p w:rsidR="00000000" w:rsidDel="00000000" w:rsidP="00000000" w:rsidRDefault="00000000" w:rsidRPr="00000000" w14:paraId="0000002A">
      <w:pPr>
        <w:pStyle w:val="Heading2"/>
        <w:spacing w:after="80" w:line="276" w:lineRule="auto"/>
        <w:rPr>
          <w:rFonts w:ascii="Cambria" w:cs="Cambria" w:eastAsia="Cambria" w:hAnsi="Cambria"/>
          <w:b w:val="1"/>
          <w:bCs w:val="1"/>
          <w:color w:val="4f81bd"/>
          <w:sz w:val="30"/>
          <w:szCs w:val="30"/>
        </w:rPr>
      </w:pPr>
      <w:bookmarkStart w:colFirst="0" w:colLast="0" w:name="_s3jjlquc0a9" w:id="8"/>
      <w:bookmarkEnd w:id="8"/>
      <w:r w:rsidDel="00000000" w:rsidR="00000000" w:rsidRPr="00000000">
        <w:rPr>
          <w:rFonts w:ascii="Cambria" w:cs="Cambria" w:eastAsia="Cambria" w:hAnsi="Cambria"/>
          <w:b w:val="1"/>
          <w:bCs w:val="1"/>
          <w:color w:val="4f81bd"/>
          <w:sz w:val="30"/>
          <w:szCs w:val="30"/>
          <w:rtl w:val="0"/>
        </w:rPr>
        <w:t xml:space="preserve">H. Teacher Notes and Guidance</w:t>
      </w:r>
    </w:p>
    <w:p w:rsidR="00000000" w:rsidDel="00000000" w:rsidP="00000000" w:rsidRDefault="00000000" w:rsidRPr="00000000" w14:paraId="0000002B">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1. Reinforce that confusion is normal, universal, and powerful. </w:t>
      </w:r>
    </w:p>
    <w:p w:rsidR="00000000" w:rsidDel="00000000" w:rsidP="00000000" w:rsidRDefault="00000000" w:rsidRPr="00000000" w14:paraId="0000002C">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2. Remind students this activity is ungraded. </w:t>
      </w:r>
    </w:p>
    <w:p w:rsidR="00000000" w:rsidDel="00000000" w:rsidP="00000000" w:rsidRDefault="00000000" w:rsidRPr="00000000" w14:paraId="0000002D">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3. Allow reflective silence—teens often need time to think deeply. </w:t>
      </w:r>
    </w:p>
    <w:p w:rsidR="00000000" w:rsidDel="00000000" w:rsidP="00000000" w:rsidRDefault="00000000" w:rsidRPr="00000000" w14:paraId="0000002E">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4. Encourage optional group versions for shared curiosity. </w:t>
      </w:r>
    </w:p>
    <w:p w:rsidR="00000000" w:rsidDel="00000000" w:rsidP="00000000" w:rsidRDefault="00000000" w:rsidRPr="00000000" w14:paraId="0000002F">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5. At the end, invite volunteers to share one confusion they discovered and how it felt to express it.</w:t>
      </w:r>
    </w:p>
    <w:p w:rsidR="00000000" w:rsidDel="00000000" w:rsidP="00000000" w:rsidRDefault="00000000" w:rsidRPr="00000000" w14:paraId="00000030">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Using this tool consistently helps teens embrace confusion as an essential part of learning—not something to hide.</w:t>
      </w:r>
    </w:p>
    <w:p w:rsidR="00000000" w:rsidDel="00000000" w:rsidP="00000000" w:rsidRDefault="00000000" w:rsidRPr="00000000" w14:paraId="00000031">
      <w:pPr>
        <w:pStyle w:val="Heading2"/>
        <w:spacing w:after="80" w:line="276" w:lineRule="auto"/>
        <w:rPr>
          <w:rFonts w:ascii="Cambria" w:cs="Cambria" w:eastAsia="Cambria" w:hAnsi="Cambria"/>
          <w:b w:val="1"/>
          <w:bCs w:val="1"/>
          <w:color w:val="4f81bd"/>
          <w:sz w:val="30"/>
          <w:szCs w:val="30"/>
        </w:rPr>
      </w:pPr>
      <w:bookmarkStart w:colFirst="0" w:colLast="0" w:name="_r2z7s78zgcko" w:id="9"/>
      <w:bookmarkEnd w:id="9"/>
      <w:r w:rsidDel="00000000" w:rsidR="00000000" w:rsidRPr="00000000">
        <w:rPr>
          <w:rFonts w:ascii="Cambria" w:cs="Cambria" w:eastAsia="Cambria" w:hAnsi="Cambria"/>
          <w:b w:val="1"/>
          <w:bCs w:val="1"/>
          <w:color w:val="4f81bd"/>
          <w:sz w:val="30"/>
          <w:szCs w:val="30"/>
          <w:rtl w:val="0"/>
        </w:rPr>
        <w:t xml:space="preserve">Join the Movement</w:t>
      </w:r>
    </w:p>
    <w:p w:rsidR="00000000" w:rsidDel="00000000" w:rsidP="00000000" w:rsidRDefault="00000000" w:rsidRPr="00000000" w14:paraId="00000032">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Feel free to personalize or extend this tool to suit your teaching style. Add journaling, group versions, or digital brainstorming if it supports your students’ thinking. If you discover a creative way to use this tool, share it with our community at www.clearmethodiq.com.</w:t>
      </w:r>
    </w:p>
    <w:p w:rsidR="00000000" w:rsidDel="00000000" w:rsidP="00000000" w:rsidRDefault="00000000" w:rsidRPr="00000000" w14:paraId="00000033">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Together, we are building a generation of thinkers who replace frustration with curiosity.</w:t>
      </w:r>
    </w:p>
    <w:p w:rsidR="00000000" w:rsidDel="00000000" w:rsidP="00000000" w:rsidRDefault="00000000" w:rsidRPr="00000000" w14:paraId="00000034">
      <w:pPr>
        <w:pStyle w:val="Heading2"/>
        <w:spacing w:after="80" w:line="276" w:lineRule="auto"/>
        <w:rPr>
          <w:rFonts w:ascii="Cambria" w:cs="Cambria" w:eastAsia="Cambria" w:hAnsi="Cambria"/>
          <w:b w:val="1"/>
          <w:bCs w:val="1"/>
          <w:color w:val="4f81bd"/>
          <w:sz w:val="28"/>
          <w:szCs w:val="28"/>
        </w:rPr>
      </w:pPr>
      <w:bookmarkStart w:colFirst="0" w:colLast="0" w:name="_ru1x0j56cxal" w:id="10"/>
      <w:bookmarkEnd w:id="10"/>
      <w:r w:rsidDel="00000000" w:rsidR="00000000" w:rsidRPr="00000000">
        <w:rPr>
          <w:rFonts w:ascii="Cambria" w:cs="Cambria" w:eastAsia="Cambria" w:hAnsi="Cambria"/>
          <w:b w:val="1"/>
          <w:bCs w:val="1"/>
          <w:color w:val="4f81bd"/>
          <w:sz w:val="28"/>
          <w:szCs w:val="28"/>
          <w:rtl w:val="0"/>
        </w:rPr>
        <w:t xml:space="preserve">About ClearMethodIQ &amp; IDIOT Method</w:t>
      </w:r>
    </w:p>
    <w:p w:rsidR="00000000" w:rsidDel="00000000" w:rsidP="00000000" w:rsidRDefault="00000000" w:rsidRPr="00000000" w14:paraId="00000035">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Both brands follow the same understanding framework. ClearMethodIQ provides a calm, classroom‑friendly tone for teachers and teens. The I.D.I.O.T. Method uses humor to remind us that being an “idiot” just means we are learning—like every genius before us.</w:t>
      </w:r>
    </w:p>
    <w:p w:rsidR="00000000" w:rsidDel="00000000" w:rsidP="00000000" w:rsidRDefault="00000000" w:rsidRPr="00000000" w14:paraId="00000036">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Whether gentle or bold, both paths lead to the same destination: making sense of what once felt confusing.</w:t>
      </w:r>
    </w:p>
    <w:p w:rsidR="00000000" w:rsidDel="00000000" w:rsidP="00000000" w:rsidRDefault="00000000" w:rsidRPr="00000000" w14:paraId="00000037">
      <w:pPr>
        <w:pStyle w:val="Heading2"/>
        <w:spacing w:after="80" w:line="276" w:lineRule="auto"/>
        <w:rPr>
          <w:rFonts w:ascii="Cambria" w:cs="Cambria" w:eastAsia="Cambria" w:hAnsi="Cambria"/>
          <w:b w:val="1"/>
          <w:bCs w:val="1"/>
          <w:color w:val="4f81bd"/>
          <w:sz w:val="30"/>
          <w:szCs w:val="30"/>
        </w:rPr>
      </w:pPr>
      <w:bookmarkStart w:colFirst="0" w:colLast="0" w:name="_1xf9hkk4puah" w:id="11"/>
      <w:bookmarkEnd w:id="11"/>
      <w:r w:rsidDel="00000000" w:rsidR="00000000" w:rsidRPr="00000000">
        <w:rPr>
          <w:rFonts w:ascii="Cambria" w:cs="Cambria" w:eastAsia="Cambria" w:hAnsi="Cambria"/>
          <w:b w:val="1"/>
          <w:bCs w:val="1"/>
          <w:color w:val="4f81bd"/>
          <w:sz w:val="30"/>
          <w:szCs w:val="30"/>
          <w:rtl w:val="0"/>
        </w:rPr>
        <w:t xml:space="preserve">Research Behind This Tool</w:t>
      </w:r>
    </w:p>
    <w:p w:rsidR="00000000" w:rsidDel="00000000" w:rsidP="00000000" w:rsidRDefault="00000000" w:rsidRPr="00000000" w14:paraId="00000038">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Research strongly supports the practice of identifying confusion:</w:t>
      </w:r>
    </w:p>
    <w:p w:rsidR="00000000" w:rsidDel="00000000" w:rsidP="00000000" w:rsidRDefault="00000000" w:rsidRPr="00000000" w14:paraId="00000039">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Flavell (1979) showed that metacognition—knowing what you don’t know—improves learning. </w:t>
      </w:r>
    </w:p>
    <w:p w:rsidR="00000000" w:rsidDel="00000000" w:rsidP="00000000" w:rsidRDefault="00000000" w:rsidRPr="00000000" w14:paraId="0000003A">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D’Mello &amp; Graesser (2012) found that exploring confusion leads to deeper understanding. </w:t>
      </w:r>
    </w:p>
    <w:p w:rsidR="00000000" w:rsidDel="00000000" w:rsidP="00000000" w:rsidRDefault="00000000" w:rsidRPr="00000000" w14:paraId="0000003B">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Craig et al. (2013) showed that naming confusion improves recall and problem‑solving. </w:t>
      </w:r>
    </w:p>
    <w:p w:rsidR="00000000" w:rsidDel="00000000" w:rsidP="00000000" w:rsidRDefault="00000000" w:rsidRPr="00000000" w14:paraId="0000003C">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Dewey (1910) emphasized that reflection is the true starting point of understanding. </w:t>
      </w:r>
    </w:p>
    <w:p w:rsidR="00000000" w:rsidDel="00000000" w:rsidP="00000000" w:rsidRDefault="00000000" w:rsidRPr="00000000" w14:paraId="0000003D">
      <w:pPr>
        <w:pStyle w:val="Heading2"/>
        <w:spacing w:after="240" w:before="240" w:line="276" w:lineRule="auto"/>
        <w:rPr>
          <w:rFonts w:ascii="Cambria" w:cs="Cambria" w:eastAsia="Cambria" w:hAnsi="Cambria"/>
          <w:sz w:val="22"/>
          <w:szCs w:val="22"/>
        </w:rPr>
      </w:pPr>
      <w:bookmarkStart w:colFirst="0" w:colLast="0" w:name="_g4hhhcon8a5i" w:id="1"/>
      <w:bookmarkEnd w:id="1"/>
      <w:r w:rsidDel="00000000" w:rsidR="00000000" w:rsidRPr="00000000">
        <w:rPr>
          <w:rFonts w:ascii="Cambria" w:cs="Cambria" w:eastAsia="Cambria" w:hAnsi="Cambria"/>
          <w:sz w:val="22"/>
          <w:szCs w:val="22"/>
          <w:rtl w:val="0"/>
        </w:rPr>
        <w:t xml:space="preserve">• Mazur’s Harvard studies demonstrate that “muddiest point” exercises increase comprehension and participation.</w:t>
      </w:r>
    </w:p>
    <w:p w:rsidR="00000000" w:rsidDel="00000000" w:rsidP="00000000" w:rsidRDefault="00000000" w:rsidRPr="00000000" w14:paraId="0000003E">
      <w:pPr>
        <w:pStyle w:val="Heading2"/>
        <w:spacing w:after="240" w:before="240" w:line="276" w:lineRule="auto"/>
        <w:rPr>
          <w:rFonts w:ascii="Cambria" w:cs="Cambria" w:eastAsia="Cambria" w:hAnsi="Cambria"/>
          <w:sz w:val="22"/>
          <w:szCs w:val="22"/>
        </w:rPr>
      </w:pPr>
      <w:bookmarkStart w:colFirst="0" w:colLast="0" w:name="_1w2c6adwt44c" w:id="12"/>
      <w:bookmarkEnd w:id="12"/>
      <w:r w:rsidDel="00000000" w:rsidR="00000000" w:rsidRPr="00000000">
        <w:rPr>
          <w:rFonts w:ascii="Cambria" w:cs="Cambria" w:eastAsia="Cambria" w:hAnsi="Cambria"/>
          <w:sz w:val="22"/>
          <w:szCs w:val="22"/>
          <w:rtl w:val="0"/>
        </w:rPr>
        <w:t xml:space="preserve">These findings show that asking teens to write down their confusion is not only simple—it is scientifically effective.</w:t>
      </w:r>
    </w:p>
    <w:p w:rsidR="00000000" w:rsidDel="00000000" w:rsidP="00000000" w:rsidRDefault="00000000" w:rsidRPr="00000000" w14:paraId="0000003F">
      <w:pPr>
        <w:pStyle w:val="Heading2"/>
        <w:spacing w:after="0" w:before="200" w:line="276" w:lineRule="auto"/>
        <w:rPr>
          <w:rFonts w:ascii="Cambria" w:cs="Cambria" w:eastAsia="Cambria" w:hAnsi="Cambria"/>
        </w:rPr>
      </w:pPr>
      <w:bookmarkStart w:colFirst="0" w:colLast="0" w:name="_g4hhhcon8a5i" w:id="1"/>
      <w:bookmarkEnd w:id="1"/>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