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Instructions – Tool #17: Impossible Made Simple Ages 13–17 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Teacher,</w:t>
        <w:br w:type="textWrapping"/>
        <w:br w:type="textWrapping"/>
        <w:t xml:space="preserve">Tool #17 — Impossible Made Simple is a mindset-shifting learning tool designed to help teen learners approach topics that feel overwhelming, intimidating, or far beyond their level. This tool teaches students that the feeling of “impossible” disappears once confusion is named and broken into smaller, understandable parts.</w:t>
        <w:br w:type="textWrapping"/>
        <w:br w:type="textWrapping"/>
      </w:r>
      <w:r w:rsidDel="00000000" w:rsidR="00000000" w:rsidRPr="00000000">
        <w:rPr>
          <w:b w:val="1"/>
          <w:bCs w:val="1"/>
          <w:color w:val="4f81bd"/>
          <w:sz w:val="26"/>
          <w:szCs w:val="26"/>
          <w:rtl w:val="0"/>
        </w:rPr>
        <w:t xml:space="preserve">A. What This Tool Is</w:t>
      </w:r>
      <w:r w:rsidDel="00000000" w:rsidR="00000000" w:rsidRPr="00000000">
        <w:rPr>
          <w:rtl w:val="0"/>
        </w:rPr>
        <w:br w:type="textWrapping"/>
        <w:t xml:space="preserve">Tool 17 guides students through breaking down a topic that feels extremely difficult.</w:t>
        <w:br w:type="textWrapping"/>
        <w:t xml:space="preserve">Students complete five clear steps:</w:t>
        <w:br w:type="textWrapping"/>
        <w:t xml:space="preserve">1. Choose something that feels impossible or overwhelming</w:t>
        <w:br w:type="textWrapping"/>
        <w:t xml:space="preserve">2. Brain-dump what they know and wonder</w:t>
        <w:br w:type="textWrapping"/>
        <w:t xml:space="preserve">3. Identify the deepest point of confusion</w:t>
        <w:br w:type="textWrapping"/>
        <w:t xml:space="preserve">4. Do a small amount of guided research</w:t>
        <w:br w:type="textWrapping"/>
        <w:t xml:space="preserve">5. Explain the idea simply, in their own words</w:t>
        <w:br w:type="textWrapping"/>
        <w:br w:type="textWrapping"/>
        <w:t xml:space="preserve">The tool is available as a printable worksheet and a Google Form.</w:t>
        <w:br w:type="textWrapping"/>
        <w:br w:type="textWrapping"/>
      </w:r>
      <w:r w:rsidDel="00000000" w:rsidR="00000000" w:rsidRPr="00000000">
        <w:rPr>
          <w:b w:val="1"/>
          <w:bCs w:val="1"/>
          <w:color w:val="4f81bd"/>
          <w:sz w:val="26"/>
          <w:szCs w:val="26"/>
          <w:rtl w:val="0"/>
        </w:rPr>
        <w:t xml:space="preserve">B. Purpose of the Tool</w:t>
      </w:r>
      <w:r w:rsidDel="00000000" w:rsidR="00000000" w:rsidRPr="00000000">
        <w:rPr>
          <w:rtl w:val="0"/>
        </w:rPr>
        <w:br w:type="textWrapping"/>
        <w:t xml:space="preserve">This tool exists to help students:</w:t>
        <w:br w:type="textWrapping"/>
        <w:t xml:space="preserve">• Face intimidating subjects with confidence</w:t>
        <w:br w:type="textWrapping"/>
        <w:t xml:space="preserve">• Learn how to break down complexity</w:t>
        <w:br w:type="textWrapping"/>
        <w:t xml:space="preserve">• Reduce fear and shame around confusion</w:t>
        <w:br w:type="textWrapping"/>
        <w:t xml:space="preserve">• Build resilience when learning hard topics</w:t>
        <w:br w:type="textWrapping"/>
        <w:t xml:space="preserve">• Understand that experts start as beginners</w:t>
        <w:br w:type="textWrapping"/>
        <w:br w:type="textWrapping"/>
      </w:r>
      <w:r w:rsidDel="00000000" w:rsidR="00000000" w:rsidRPr="00000000">
        <w:rPr>
          <w:b w:val="1"/>
          <w:bCs w:val="1"/>
          <w:color w:val="4f81bd"/>
          <w:sz w:val="26"/>
          <w:szCs w:val="26"/>
          <w:rtl w:val="0"/>
        </w:rPr>
        <w:t xml:space="preserve">C. The Golden Rule</w:t>
      </w:r>
      <w:r w:rsidDel="00000000" w:rsidR="00000000" w:rsidRPr="00000000">
        <w:rPr>
          <w:rtl w:val="0"/>
        </w:rPr>
        <w:br w:type="textWrapping"/>
        <w:t xml:space="preserve">Take your time with the confusion — don’t rush to feel smart.</w:t>
        <w:br w:type="textWrapping"/>
        <w:t xml:space="preserve">The goal is not mastery, but understanding one small piece clearly.</w:t>
        <w:br w:type="textWrapping"/>
        <w:t xml:space="preserve">Progress comes from curiosity, not speed.</w:t>
        <w:br w:type="textWrapping"/>
        <w:br w:type="textWrapping"/>
      </w:r>
      <w:r w:rsidDel="00000000" w:rsidR="00000000" w:rsidRPr="00000000">
        <w:rPr>
          <w:b w:val="1"/>
          <w:bCs w:val="1"/>
          <w:color w:val="4f81bd"/>
          <w:sz w:val="26"/>
          <w:szCs w:val="26"/>
          <w:rtl w:val="0"/>
        </w:rPr>
        <w:t xml:space="preserve">D. Starting the Conversation</w:t>
      </w:r>
      <w:r w:rsidDel="00000000" w:rsidR="00000000" w:rsidRPr="00000000">
        <w:rPr>
          <w:rtl w:val="0"/>
        </w:rPr>
        <w:br w:type="textWrapping"/>
        <w:t xml:space="preserve">Teachers can introduce the tool by saying:</w:t>
        <w:br w:type="textWrapping"/>
        <w:t xml:space="preserve">“Let’s take something that feels impossible and slow it down.”</w:t>
        <w:br w:type="textWrapping"/>
        <w:t xml:space="preserve">“Hard topics become manageable when we name the confusion.”</w:t>
        <w:br w:type="textWrapping"/>
        <w:t xml:space="preserve">“This tool trains your brain to stay calm in the unknown.”</w:t>
        <w:br w:type="textWrapping"/>
        <w:br w:type="textWrapping"/>
      </w:r>
      <w:r w:rsidDel="00000000" w:rsidR="00000000" w:rsidRPr="00000000">
        <w:rPr>
          <w:b w:val="1"/>
          <w:bCs w:val="1"/>
          <w:color w:val="4f81bd"/>
          <w:sz w:val="26"/>
          <w:szCs w:val="26"/>
          <w:rtl w:val="0"/>
        </w:rPr>
        <w:t xml:space="preserve">E. When to Use This Tool</w:t>
      </w:r>
      <w:r w:rsidDel="00000000" w:rsidR="00000000" w:rsidRPr="00000000">
        <w:rPr>
          <w:rtl w:val="0"/>
        </w:rPr>
        <w:br w:type="textWrapping"/>
        <w:t xml:space="preserve">• At the beginning of a school year</w:t>
        <w:br w:type="textWrapping"/>
        <w:t xml:space="preserve">• Before introducing a challenging unit</w:t>
        <w:br w:type="textWrapping"/>
        <w:t xml:space="preserve">• When students feel overwhelmed</w:t>
        <w:br w:type="textWrapping"/>
        <w:t xml:space="preserve">• Before large projects or exams</w:t>
        <w:br w:type="textWrapping"/>
        <w:t xml:space="preserve">• During confidence-building lessons</w:t>
        <w:br w:type="textWrapping"/>
        <w:br w:type="textWrapping"/>
      </w:r>
      <w:r w:rsidDel="00000000" w:rsidR="00000000" w:rsidRPr="00000000">
        <w:rPr>
          <w:color w:val="4f81bd"/>
          <w:sz w:val="26"/>
          <w:szCs w:val="26"/>
          <w:rtl w:val="0"/>
        </w:rPr>
        <w:t xml:space="preserve">F. What Happens Next</w:t>
      </w:r>
      <w:r w:rsidDel="00000000" w:rsidR="00000000" w:rsidRPr="00000000">
        <w:rPr>
          <w:rtl w:val="0"/>
        </w:rPr>
        <w:br w:type="textWrapping"/>
        <w:t xml:space="preserve">Students will:</w:t>
        <w:br w:type="textWrapping"/>
        <w:t xml:space="preserve">• Discover what they actually don’t understand</w:t>
        <w:br w:type="textWrapping"/>
        <w:t xml:space="preserve">• Experience micro-breakthroughs</w:t>
        <w:br w:type="textWrapping"/>
        <w:t xml:space="preserve">• Build confidence with complex topics</w:t>
        <w:br w:type="textWrapping"/>
        <w:t xml:space="preserve">• Learn how to explain ideas clearly</w:t>
        <w:br w:type="textWrapping"/>
        <w:br w:type="textWrapping"/>
        <w:t xml:space="preserve">Teachers will:</w:t>
        <w:br w:type="textWrapping"/>
        <w:t xml:space="preserve">• See patterns in student confusion</w:t>
        <w:br w:type="textWrapping"/>
        <w:t xml:space="preserve">• Support learning step-by-step</w:t>
        <w:br w:type="textWrapping"/>
        <w:t xml:space="preserve">• Reinforce a healthy learning culture</w:t>
        <w:br w:type="textWrapping"/>
        <w:br w:type="textWrapping"/>
      </w:r>
      <w:r w:rsidDel="00000000" w:rsidR="00000000" w:rsidRPr="00000000">
        <w:rPr>
          <w:b w:val="1"/>
          <w:bCs w:val="1"/>
          <w:color w:val="4f81bd"/>
          <w:sz w:val="28"/>
          <w:szCs w:val="28"/>
          <w:rtl w:val="0"/>
        </w:rPr>
        <w:t xml:space="preserve">G. Let Their Thinking Branch Out</w:t>
      </w:r>
      <w:r w:rsidDel="00000000" w:rsidR="00000000" w:rsidRPr="00000000">
        <w:rPr>
          <w:color w:val="4f81bd"/>
          <w:rtl w:val="0"/>
        </w:rPr>
        <w:br w:type="textWrapping"/>
      </w:r>
      <w:r w:rsidDel="00000000" w:rsidR="00000000" w:rsidRPr="00000000">
        <w:rPr>
          <w:rtl w:val="0"/>
        </w:rPr>
        <w:t xml:space="preserve">Ask follow-up questions:</w:t>
        <w:br w:type="textWrapping"/>
        <w:t xml:space="preserve">“What surprised you as you broke this down?”</w:t>
        <w:br w:type="textWrapping"/>
        <w:t xml:space="preserve">“Which part felt foggiest?”</w:t>
        <w:br w:type="textWrapping"/>
        <w:t xml:space="preserve">“How would you explain this to a younger student?”</w:t>
        <w:br w:type="textWrapping"/>
        <w:br w:type="textWrapping"/>
      </w:r>
      <w:r w:rsidDel="00000000" w:rsidR="00000000" w:rsidRPr="00000000">
        <w:rPr>
          <w:b w:val="1"/>
          <w:bCs w:val="1"/>
          <w:color w:val="4f81bd"/>
          <w:sz w:val="26"/>
          <w:szCs w:val="26"/>
          <w:rtl w:val="0"/>
        </w:rPr>
        <w:t xml:space="preserve">H. Notes &amp; Guidance for Teachers</w:t>
      </w:r>
      <w:r w:rsidDel="00000000" w:rsidR="00000000" w:rsidRPr="00000000">
        <w:rPr>
          <w:rtl w:val="0"/>
        </w:rPr>
        <w:br w:type="textWrapping"/>
        <w:t xml:space="preserve">Praise effort, not correctness.</w:t>
        <w:br w:type="textWrapping"/>
        <w:t xml:space="preserve">Normalize big questions.</w:t>
        <w:br w:type="textWrapping"/>
        <w:t xml:space="preserve">Encourage patience and reflection.</w:t>
        <w:br w:type="textWrapping"/>
        <w:t xml:space="preserve">Reinforce that confusion is part of learning.</w:t>
        <w:br w:type="textWrapping"/>
        <w:br w:type="textWrapping"/>
      </w:r>
      <w:r w:rsidDel="00000000" w:rsidR="00000000" w:rsidRPr="00000000">
        <w:rPr>
          <w:b w:val="1"/>
          <w:bCs w:val="1"/>
          <w:color w:val="4f81bd"/>
          <w:sz w:val="24"/>
          <w:szCs w:val="24"/>
          <w:rtl w:val="0"/>
        </w:rPr>
        <w:t xml:space="preserve">About {brand}</w:t>
      </w:r>
      <w:r w:rsidDel="00000000" w:rsidR="00000000" w:rsidRPr="00000000">
        <w:rPr>
          <w:rtl w:val="0"/>
        </w:rPr>
        <w:br w:type="textWrapping"/>
        <w:t xml:space="preserve">ClearMethodIQ is a calm, classroom-friendly clarity system that helps students turn confusion into understanding through structure, reflection, and honesty.</w:t>
        <w:br w:type="textWrapping"/>
        <w:br w:type="textWrapping"/>
      </w:r>
      <w:r w:rsidDel="00000000" w:rsidR="00000000" w:rsidRPr="00000000">
        <w:rPr>
          <w:b w:val="1"/>
          <w:bCs w:val="1"/>
          <w:color w:val="4f81bd"/>
          <w:sz w:val="24"/>
          <w:szCs w:val="24"/>
          <w:rtl w:val="0"/>
        </w:rPr>
        <w:t xml:space="preserve">GENIUS Method Tagline</w:t>
      </w:r>
      <w:r w:rsidDel="00000000" w:rsidR="00000000" w:rsidRPr="00000000">
        <w:rPr>
          <w:rtl w:val="0"/>
        </w:rPr>
        <w:br w:type="textWrapping"/>
        <w:t xml:space="preserve">Find the GENIUS method for learning anything at www.clearmethodiq.com</w:t>
        <w:br w:type="textWrapping"/>
      </w:r>
      <w:r w:rsidDel="00000000" w:rsidR="00000000" w:rsidRPr="00000000">
        <w:rPr>
          <w:b w:val="1"/>
          <w:bCs w:val="1"/>
          <w:color w:val="4f81bd"/>
          <w:sz w:val="24"/>
          <w:szCs w:val="24"/>
          <w:rtl w:val="0"/>
        </w:rPr>
        <w:t xml:space="preserve">Research Behind This Tool</w:t>
      </w:r>
      <w:r w:rsidDel="00000000" w:rsidR="00000000" w:rsidRPr="00000000">
        <w:rPr>
          <w:rtl w:val="0"/>
        </w:rPr>
        <w:br w:type="textWrapping"/>
        <w:t xml:space="preserve">Ask ChatGPT:</w:t>
        <w:br w:type="textWrapping"/>
        <w:t xml:space="preserve">“Provide research showing how breaking down complex topics, managing cognitive overload,and incremental learning improve confidence, comprehension, and performance.”</w:t>
        <w:br w:type="textWrapping"/>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5h/LP1NS9z4Fu+0ZDX8foZ499g==">CgMxLjA4AHIhMVR0blR2eXpDRUI4VXZqeHV1ejM4U282cTc4cWFwTGhm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